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4049" w:rsidRPr="004E4049" w:rsidRDefault="004E4049">
      <w:pPr>
        <w:rPr>
          <w:b/>
          <w:i/>
        </w:rPr>
      </w:pPr>
      <w:r w:rsidRPr="004E4049">
        <w:rPr>
          <w:b/>
          <w:i/>
        </w:rPr>
        <w:t>TRUMPF – Ticket#003242 – ‚Reaktivierung eines DCC-Werks‘</w:t>
      </w:r>
    </w:p>
    <w:p w:rsidR="009F180C" w:rsidRDefault="00DF4F80">
      <w:r>
        <w:rPr>
          <w:noProof/>
          <w:lang w:eastAsia="de-DE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306.65pt;margin-top:111.1pt;width:84.85pt;height:94.1pt;flip:x y;z-index:251658240" o:connectortype="straight">
            <v:stroke endarrow="block"/>
          </v:shape>
        </w:pict>
      </w:r>
      <w:r w:rsidR="009F180C" w:rsidRPr="009F180C">
        <w:drawing>
          <wp:inline distT="0" distB="0" distL="0" distR="0">
            <wp:extent cx="4370016" cy="1613263"/>
            <wp:effectExtent l="19050" t="19050" r="11484" b="25037"/>
            <wp:docPr id="3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9435" cy="1613048"/>
                    </a:xfrm>
                    <a:prstGeom prst="rect">
                      <a:avLst/>
                    </a:prstGeom>
                    <a:noFill/>
                    <a:ln w="25400">
                      <a:solidFill>
                        <a:schemeClr val="tx2">
                          <a:lumMod val="60000"/>
                          <a:lumOff val="40000"/>
                        </a:schemeClr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F180C" w:rsidRDefault="009F180C">
      <w:r>
        <w:rPr>
          <w:noProof/>
          <w:lang w:eastAsia="de-DE"/>
        </w:rPr>
        <w:drawing>
          <wp:inline distT="0" distB="0" distL="0" distR="0">
            <wp:extent cx="5760884" cy="1613263"/>
            <wp:effectExtent l="19050" t="19050" r="11266" b="25037"/>
            <wp:docPr id="4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613217"/>
                    </a:xfrm>
                    <a:prstGeom prst="rect">
                      <a:avLst/>
                    </a:prstGeom>
                    <a:noFill/>
                    <a:ln w="25400">
                      <a:solidFill>
                        <a:schemeClr val="tx2">
                          <a:lumMod val="60000"/>
                          <a:lumOff val="40000"/>
                        </a:schemeClr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4F80" w:rsidRDefault="00DF4F80">
      <w:pPr>
        <w:rPr>
          <w:sz w:val="16"/>
          <w:szCs w:val="16"/>
        </w:rPr>
      </w:pPr>
      <w:r w:rsidRPr="00DF4F80">
        <w:rPr>
          <w:sz w:val="16"/>
          <w:szCs w:val="16"/>
        </w:rPr>
        <w:t>Nach Recherche im DCC-PREPARE (Tabelle /GIB/DCC_MSEGH) wurde das Werk 2231 ab dem 15.06.201</w:t>
      </w:r>
      <w:r w:rsidR="002B7781">
        <w:rPr>
          <w:sz w:val="16"/>
          <w:szCs w:val="16"/>
        </w:rPr>
        <w:t>2</w:t>
      </w:r>
      <w:r w:rsidRPr="00DF4F80">
        <w:rPr>
          <w:sz w:val="16"/>
          <w:szCs w:val="16"/>
        </w:rPr>
        <w:t xml:space="preserve"> ‚deaktiviert‘. Das heißt, es wurde lediglich der DCC –Werkseintrag gelöscht, ohne die DCC-Daten (inklusive </w:t>
      </w:r>
      <w:r>
        <w:rPr>
          <w:sz w:val="16"/>
          <w:szCs w:val="16"/>
        </w:rPr>
        <w:t>aller DCC-</w:t>
      </w:r>
      <w:r w:rsidRPr="00DF4F80">
        <w:rPr>
          <w:sz w:val="16"/>
          <w:szCs w:val="16"/>
        </w:rPr>
        <w:t>Lauftabelle</w:t>
      </w:r>
      <w:r>
        <w:rPr>
          <w:sz w:val="16"/>
          <w:szCs w:val="16"/>
        </w:rPr>
        <w:t>n</w:t>
      </w:r>
      <w:r w:rsidRPr="00DF4F80">
        <w:rPr>
          <w:sz w:val="16"/>
          <w:szCs w:val="16"/>
        </w:rPr>
        <w:t>) des Werks per CLEANUP zu entfernen.</w:t>
      </w:r>
      <w:r>
        <w:rPr>
          <w:sz w:val="16"/>
          <w:szCs w:val="16"/>
        </w:rPr>
        <w:br/>
        <w:t>Der DCC-PREPARE erkennt, dass das Werk im DCC nicht mehr aktiv ist. Da das Werk aber noch einen Eintrag in der PREPARE-Lauftabelle hat, erscheint die Meldung ‚</w:t>
      </w:r>
      <w:proofErr w:type="spellStart"/>
      <w:r>
        <w:rPr>
          <w:sz w:val="16"/>
          <w:szCs w:val="16"/>
        </w:rPr>
        <w:t>DCC_MSEGH_Prepare</w:t>
      </w:r>
      <w:proofErr w:type="spellEnd"/>
      <w:r>
        <w:rPr>
          <w:sz w:val="16"/>
          <w:szCs w:val="16"/>
        </w:rPr>
        <w:t xml:space="preserve"> Typ D wurde für Werk 2231 automatisch angefordert‘.</w:t>
      </w:r>
      <w:r w:rsidR="00F05953">
        <w:rPr>
          <w:sz w:val="16"/>
          <w:szCs w:val="16"/>
        </w:rPr>
        <w:br/>
      </w:r>
      <w:r>
        <w:rPr>
          <w:sz w:val="16"/>
          <w:szCs w:val="16"/>
        </w:rPr>
        <w:t xml:space="preserve">Das suggeriert, dass der Aufbau der Materialbewegungen im Delta-Modus für dieses Werk weiterhin stattfindet. </w:t>
      </w:r>
      <w:r w:rsidR="00F05953">
        <w:rPr>
          <w:sz w:val="16"/>
          <w:szCs w:val="16"/>
        </w:rPr>
        <w:br/>
      </w:r>
      <w:r>
        <w:rPr>
          <w:sz w:val="16"/>
          <w:szCs w:val="16"/>
        </w:rPr>
        <w:t xml:space="preserve">Das ist aber leider nicht der Fall. Der Aufbau der Materialbewegungen im DCC </w:t>
      </w:r>
      <w:r w:rsidR="0055678D">
        <w:rPr>
          <w:sz w:val="16"/>
          <w:szCs w:val="16"/>
        </w:rPr>
        <w:t xml:space="preserve">(Tabelle /GIB/DCC_MSEGH) </w:t>
      </w:r>
      <w:r>
        <w:rPr>
          <w:sz w:val="16"/>
          <w:szCs w:val="16"/>
        </w:rPr>
        <w:t xml:space="preserve">ist ab dem Zeitpunkt der </w:t>
      </w:r>
      <w:r w:rsidR="0055678D">
        <w:rPr>
          <w:sz w:val="16"/>
          <w:szCs w:val="16"/>
        </w:rPr>
        <w:t>Löschung des Werks aus den DCC-Werksdaten</w:t>
      </w:r>
      <w:r>
        <w:rPr>
          <w:sz w:val="16"/>
          <w:szCs w:val="16"/>
        </w:rPr>
        <w:t xml:space="preserve"> </w:t>
      </w:r>
      <w:r w:rsidR="0055678D">
        <w:rPr>
          <w:sz w:val="16"/>
          <w:szCs w:val="16"/>
        </w:rPr>
        <w:t xml:space="preserve">gestoppt. Der Eintrag in die DCC-PREPARE-Lauftabelle (Delta-PREPARE) wird aber weiterhin geschrieben. </w:t>
      </w:r>
      <w:r w:rsidR="00F05953">
        <w:rPr>
          <w:sz w:val="16"/>
          <w:szCs w:val="16"/>
        </w:rPr>
        <w:br/>
      </w:r>
      <w:r w:rsidR="0055678D">
        <w:rPr>
          <w:sz w:val="16"/>
          <w:szCs w:val="16"/>
        </w:rPr>
        <w:t xml:space="preserve">Das verführt den nichts ahnenden Betrachter dazu, zu glauben, dass im Falle einer ‚DCC-Wiederbelebung‘ des Werks lediglich der Werkseintrag wieder gesetzt werden muss, um dem Werk wieder seine vollständige Funktionsfähigkeit im DCC zu verleihen und lediglich der Monats-Kennzahlenaufbau für die fehlenden Monate durchgeführt werden muss. </w:t>
      </w:r>
      <w:r w:rsidR="00F05953">
        <w:rPr>
          <w:sz w:val="16"/>
          <w:szCs w:val="16"/>
        </w:rPr>
        <w:br/>
      </w:r>
      <w:r w:rsidR="0055678D">
        <w:rPr>
          <w:sz w:val="16"/>
          <w:szCs w:val="16"/>
        </w:rPr>
        <w:t xml:space="preserve">Die Wirklichkeit sieht aber so aus, dass im DCC-PREPARE eine ‚Beleglücke‘ entstanden ist und zwar ab dem Zeitpunkt der Löschung des Werks aus den DCC-Werksdaten und der Wiederaufnahme des Werks in die DCC-Werksdaten. Im vorliegenden Beispiel startet die </w:t>
      </w:r>
      <w:r w:rsidR="0055678D" w:rsidRPr="00F05953">
        <w:rPr>
          <w:color w:val="FF0000"/>
          <w:sz w:val="16"/>
          <w:szCs w:val="16"/>
        </w:rPr>
        <w:t>‚Beleglücke‘ ab dem 15.06.2012.</w:t>
      </w:r>
      <w:r w:rsidR="0055678D" w:rsidRPr="00F05953">
        <w:rPr>
          <w:color w:val="FF0000"/>
          <w:sz w:val="16"/>
          <w:szCs w:val="16"/>
        </w:rPr>
        <w:br/>
      </w:r>
      <w:r w:rsidR="0055678D" w:rsidRPr="00BC4900">
        <w:rPr>
          <w:color w:val="FF0000"/>
          <w:sz w:val="16"/>
          <w:szCs w:val="16"/>
        </w:rPr>
        <w:t>Lösung (1)</w:t>
      </w:r>
      <w:r w:rsidR="0055678D">
        <w:rPr>
          <w:sz w:val="16"/>
          <w:szCs w:val="16"/>
        </w:rPr>
        <w:t xml:space="preserve"> – Workaround – Löschen des ‚Delta-Eintrags‘ aus der PREPARE-Lauftabelle via ‚Verwaltung Laufdaten</w:t>
      </w:r>
      <w:r w:rsidR="00BC4900">
        <w:rPr>
          <w:sz w:val="16"/>
          <w:szCs w:val="16"/>
        </w:rPr>
        <w:t xml:space="preserve">‘. Dann werden für dieses  </w:t>
      </w:r>
      <w:r w:rsidR="00BC4900">
        <w:rPr>
          <w:sz w:val="16"/>
          <w:szCs w:val="16"/>
        </w:rPr>
        <w:br/>
        <w:t xml:space="preserve">                                                  Werk die Materialbelege ab dem Initial-PREPARE komplett neu ermittelt.</w:t>
      </w:r>
      <w:r w:rsidR="00BC4900">
        <w:rPr>
          <w:sz w:val="16"/>
          <w:szCs w:val="16"/>
        </w:rPr>
        <w:br/>
      </w:r>
      <w:r w:rsidR="00BC4900" w:rsidRPr="00BC4900">
        <w:rPr>
          <w:color w:val="FF0000"/>
          <w:sz w:val="16"/>
          <w:szCs w:val="16"/>
        </w:rPr>
        <w:t>Lösung (2)</w:t>
      </w:r>
      <w:r w:rsidR="00BC4900">
        <w:rPr>
          <w:sz w:val="16"/>
          <w:szCs w:val="16"/>
        </w:rPr>
        <w:t xml:space="preserve"> – Der DCC-PREPARE erkennt, dass das Werk kein aktives DCC-Werk (mehr) ist und löscht den Delta-Eintrag.</w:t>
      </w:r>
    </w:p>
    <w:p w:rsidR="009F180C" w:rsidRDefault="00DF4F80">
      <w:r w:rsidRPr="002B7781">
        <w:rPr>
          <w:b/>
          <w:i/>
          <w:sz w:val="16"/>
          <w:szCs w:val="16"/>
        </w:rPr>
        <w:t>PREPARE-Lauftabelle /GIB/DCC_LAUF_P</w:t>
      </w:r>
      <w:r w:rsidR="002B7781">
        <w:rPr>
          <w:b/>
          <w:i/>
          <w:sz w:val="16"/>
          <w:szCs w:val="16"/>
        </w:rPr>
        <w:br/>
        <w:t>INITIAL-PREPARE                                                                       DELTA-PREPARE</w:t>
      </w:r>
      <w:r w:rsidRPr="002B7781">
        <w:rPr>
          <w:b/>
          <w:i/>
          <w:sz w:val="16"/>
          <w:szCs w:val="16"/>
        </w:rPr>
        <w:br/>
      </w:r>
      <w:r w:rsidR="009F180C">
        <w:rPr>
          <w:noProof/>
          <w:lang w:eastAsia="de-DE"/>
        </w:rPr>
        <w:drawing>
          <wp:inline distT="0" distB="0" distL="0" distR="0">
            <wp:extent cx="1913890" cy="2155190"/>
            <wp:effectExtent l="38100" t="19050" r="10160" b="16510"/>
            <wp:docPr id="7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3890" cy="2155190"/>
                    </a:xfrm>
                    <a:prstGeom prst="rect">
                      <a:avLst/>
                    </a:prstGeom>
                    <a:noFill/>
                    <a:ln w="25400">
                      <a:solidFill>
                        <a:schemeClr val="tx2">
                          <a:lumMod val="60000"/>
                          <a:lumOff val="40000"/>
                        </a:schemeClr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B7781">
        <w:rPr>
          <w:noProof/>
          <w:lang w:eastAsia="de-DE"/>
        </w:rPr>
        <w:t xml:space="preserve">            </w:t>
      </w:r>
      <w:r w:rsidR="009F180C">
        <w:rPr>
          <w:noProof/>
          <w:lang w:eastAsia="de-DE"/>
        </w:rPr>
        <w:drawing>
          <wp:inline distT="0" distB="0" distL="0" distR="0">
            <wp:extent cx="1911168" cy="2152380"/>
            <wp:effectExtent l="38100" t="19050" r="12882" b="19320"/>
            <wp:docPr id="10" name="Bild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3890" cy="2155446"/>
                    </a:xfrm>
                    <a:prstGeom prst="rect">
                      <a:avLst/>
                    </a:prstGeom>
                    <a:noFill/>
                    <a:ln w="25400">
                      <a:solidFill>
                        <a:schemeClr val="tx2">
                          <a:lumMod val="60000"/>
                          <a:lumOff val="40000"/>
                        </a:schemeClr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7781" w:rsidRDefault="002B7781">
      <w:pPr>
        <w:rPr>
          <w:noProof/>
          <w:lang w:eastAsia="de-DE"/>
        </w:rPr>
      </w:pPr>
    </w:p>
    <w:p w:rsidR="002B7781" w:rsidRDefault="002B7781">
      <w:pPr>
        <w:rPr>
          <w:noProof/>
          <w:lang w:eastAsia="de-DE"/>
        </w:rPr>
      </w:pPr>
    </w:p>
    <w:p w:rsidR="002B7781" w:rsidRDefault="002B7781">
      <w:pPr>
        <w:rPr>
          <w:noProof/>
          <w:lang w:eastAsia="de-DE"/>
        </w:rPr>
      </w:pPr>
    </w:p>
    <w:p w:rsidR="009F180C" w:rsidRDefault="002B7781">
      <w:pPr>
        <w:rPr>
          <w:noProof/>
          <w:sz w:val="18"/>
          <w:szCs w:val="18"/>
          <w:lang w:eastAsia="de-DE"/>
        </w:rPr>
      </w:pPr>
      <w:r w:rsidRPr="002B7781">
        <w:rPr>
          <w:b/>
          <w:i/>
          <w:noProof/>
          <w:sz w:val="16"/>
          <w:szCs w:val="16"/>
          <w:lang w:eastAsia="de-DE"/>
        </w:rPr>
        <w:t>Materialbelege im DCC-PREPARE (Tabelle /GIB/DCC_MSEGH)</w:t>
      </w:r>
      <w:r w:rsidRPr="002B7781">
        <w:rPr>
          <w:noProof/>
          <w:sz w:val="16"/>
          <w:szCs w:val="16"/>
          <w:lang w:eastAsia="de-DE"/>
        </w:rPr>
        <w:t xml:space="preserve">: bis 15.06.2012 – Zeitpunkt der ‚Deaktivierung‘ des DCC-Werks </w:t>
      </w:r>
      <w:r w:rsidR="009F180C">
        <w:rPr>
          <w:noProof/>
          <w:lang w:eastAsia="de-DE"/>
        </w:rPr>
        <w:drawing>
          <wp:inline distT="0" distB="0" distL="0" distR="0">
            <wp:extent cx="4989830" cy="1887855"/>
            <wp:effectExtent l="19050" t="19050" r="20320" b="17145"/>
            <wp:docPr id="13" name="Bild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9830" cy="1887855"/>
                    </a:xfrm>
                    <a:prstGeom prst="rect">
                      <a:avLst/>
                    </a:prstGeom>
                    <a:noFill/>
                    <a:ln w="25400">
                      <a:solidFill>
                        <a:schemeClr val="tx2">
                          <a:lumMod val="60000"/>
                          <a:lumOff val="40000"/>
                        </a:schemeClr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F180C" w:rsidRDefault="002B7781">
      <w:r w:rsidRPr="002B7781">
        <w:rPr>
          <w:b/>
          <w:i/>
          <w:noProof/>
          <w:sz w:val="16"/>
          <w:szCs w:val="16"/>
          <w:lang w:eastAsia="de-DE"/>
        </w:rPr>
        <w:t>Original-Materialbelege (Tabelle MSEG)</w:t>
      </w:r>
      <w:r w:rsidRPr="002B7781">
        <w:rPr>
          <w:noProof/>
          <w:sz w:val="16"/>
          <w:szCs w:val="16"/>
          <w:lang w:eastAsia="de-DE"/>
        </w:rPr>
        <w:t xml:space="preserve"> ab 05/2013</w:t>
      </w:r>
      <w:r w:rsidR="009F180C">
        <w:rPr>
          <w:noProof/>
          <w:lang w:eastAsia="de-DE"/>
        </w:rPr>
        <w:drawing>
          <wp:inline distT="0" distB="0" distL="0" distR="0">
            <wp:extent cx="5035550" cy="2645410"/>
            <wp:effectExtent l="19050" t="19050" r="12700" b="21590"/>
            <wp:docPr id="16" name="Bild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5550" cy="2645410"/>
                    </a:xfrm>
                    <a:prstGeom prst="rect">
                      <a:avLst/>
                    </a:prstGeom>
                    <a:noFill/>
                    <a:ln w="25400">
                      <a:solidFill>
                        <a:schemeClr val="tx2">
                          <a:lumMod val="60000"/>
                          <a:lumOff val="40000"/>
                        </a:schemeClr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F180C">
        <w:br/>
      </w:r>
      <w:r w:rsidR="009F180C">
        <w:rPr>
          <w:noProof/>
          <w:lang w:eastAsia="de-DE"/>
        </w:rPr>
        <w:drawing>
          <wp:inline distT="0" distB="0" distL="0" distR="0">
            <wp:extent cx="5022850" cy="2482215"/>
            <wp:effectExtent l="19050" t="19050" r="25400" b="13335"/>
            <wp:docPr id="19" name="Bild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2850" cy="2482215"/>
                    </a:xfrm>
                    <a:prstGeom prst="rect">
                      <a:avLst/>
                    </a:prstGeom>
                    <a:noFill/>
                    <a:ln w="25400">
                      <a:solidFill>
                        <a:schemeClr val="tx2">
                          <a:lumMod val="60000"/>
                          <a:lumOff val="40000"/>
                        </a:schemeClr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F180C" w:rsidRDefault="009F180C"/>
    <w:p w:rsidR="009F180C" w:rsidRDefault="009F180C"/>
    <w:sectPr w:rsidR="009F180C" w:rsidSect="00626E5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7"/>
  <w:doNotDisplayPageBoundaries/>
  <w:proofState w:spelling="clean" w:grammar="clean"/>
  <w:defaultTabStop w:val="708"/>
  <w:hyphenationZone w:val="425"/>
  <w:characterSpacingControl w:val="doNotCompress"/>
  <w:compat/>
  <w:rsids>
    <w:rsidRoot w:val="009F180C"/>
    <w:rsid w:val="002B7781"/>
    <w:rsid w:val="00466B65"/>
    <w:rsid w:val="004E4049"/>
    <w:rsid w:val="0055678D"/>
    <w:rsid w:val="00626E5E"/>
    <w:rsid w:val="008821B7"/>
    <w:rsid w:val="009F180C"/>
    <w:rsid w:val="00BC4900"/>
    <w:rsid w:val="00DF4F80"/>
    <w:rsid w:val="00F059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26E5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F18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F18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309</Words>
  <Characters>1949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cbroecher</dc:creator>
  <cp:lastModifiedBy>cbroecher</cp:lastModifiedBy>
  <cp:revision>4</cp:revision>
  <dcterms:created xsi:type="dcterms:W3CDTF">2013-06-06T09:45:00Z</dcterms:created>
  <dcterms:modified xsi:type="dcterms:W3CDTF">2013-06-06T10:26:00Z</dcterms:modified>
</cp:coreProperties>
</file>