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B59AAD" w14:textId="29701ECF" w:rsidR="00EF0690" w:rsidRPr="00440CC9" w:rsidRDefault="00EF0690">
      <w:pPr>
        <w:rPr>
          <w:b/>
          <w:bCs/>
        </w:rPr>
      </w:pPr>
      <w:r w:rsidRPr="00440CC9">
        <w:rPr>
          <w:b/>
          <w:bCs/>
        </w:rPr>
        <w:t xml:space="preserve">Begrifflichkeiten Anwendung: </w:t>
      </w:r>
    </w:p>
    <w:p w14:paraId="2D488BF3" w14:textId="6FBB02FF" w:rsidR="00311204" w:rsidRPr="00EF0690" w:rsidRDefault="00EF0690" w:rsidP="00EF0690">
      <w:pPr>
        <w:rPr>
          <w:color w:val="92D050"/>
        </w:rPr>
      </w:pPr>
      <w:r w:rsidRPr="00EF0690">
        <w:rPr>
          <w:color w:val="92D050"/>
        </w:rPr>
        <w:t>Optimierungslauf anlegen</w:t>
      </w:r>
    </w:p>
    <w:p w14:paraId="1C61320C" w14:textId="7C5275AE" w:rsidR="00EF0690" w:rsidRPr="00EF0690" w:rsidRDefault="00EF0690" w:rsidP="00EF0690">
      <w:pPr>
        <w:pStyle w:val="Listenabsatz"/>
        <w:numPr>
          <w:ilvl w:val="0"/>
          <w:numId w:val="1"/>
        </w:numPr>
      </w:pPr>
      <w:r>
        <w:rPr>
          <w:color w:val="FFC000"/>
        </w:rPr>
        <w:t xml:space="preserve">Auswahl Optimierungsprofil: </w:t>
      </w:r>
      <w:r w:rsidR="005B2255" w:rsidRPr="005B2255">
        <w:rPr>
          <w:color w:val="FF0000"/>
        </w:rPr>
        <w:t>(heute Auswahl Optimierer)</w:t>
      </w:r>
    </w:p>
    <w:p w14:paraId="136B3C79" w14:textId="57C9BFA3" w:rsidR="00EF0690" w:rsidRPr="00EF0690" w:rsidRDefault="00EF0690" w:rsidP="00EF0690">
      <w:pPr>
        <w:pStyle w:val="Listenabsatz"/>
        <w:numPr>
          <w:ilvl w:val="1"/>
          <w:numId w:val="1"/>
        </w:numPr>
      </w:pPr>
      <w:r w:rsidRPr="00EF0690">
        <w:rPr>
          <w:color w:val="FFC000"/>
        </w:rPr>
        <w:t>Optimierungsprofil</w:t>
      </w:r>
      <w:r w:rsidRPr="00EF0690">
        <w:t xml:space="preserve"> </w:t>
      </w:r>
      <w:r w:rsidRPr="00EF0690">
        <w:rPr>
          <w:color w:val="FF0000"/>
        </w:rPr>
        <w:t>(heute: Optimierer)</w:t>
      </w:r>
    </w:p>
    <w:p w14:paraId="4546EB17" w14:textId="51189CC1" w:rsidR="00EF0690" w:rsidRPr="00EF0690" w:rsidRDefault="00EF0690" w:rsidP="00EF0690">
      <w:pPr>
        <w:pStyle w:val="Listenabsatz"/>
        <w:numPr>
          <w:ilvl w:val="1"/>
          <w:numId w:val="1"/>
        </w:numPr>
        <w:rPr>
          <w:color w:val="92D050"/>
        </w:rPr>
      </w:pPr>
      <w:r w:rsidRPr="00EF0690">
        <w:rPr>
          <w:color w:val="92D050"/>
        </w:rPr>
        <w:t xml:space="preserve">Beschreibung </w:t>
      </w:r>
      <w:proofErr w:type="spellStart"/>
      <w:r w:rsidRPr="00EF0690">
        <w:rPr>
          <w:color w:val="92D050"/>
        </w:rPr>
        <w:t>Opt</w:t>
      </w:r>
      <w:proofErr w:type="spellEnd"/>
      <w:r w:rsidRPr="00EF0690">
        <w:rPr>
          <w:color w:val="92D050"/>
        </w:rPr>
        <w:t>.</w:t>
      </w:r>
      <w:r w:rsidR="00440CC9">
        <w:rPr>
          <w:color w:val="92D050"/>
        </w:rPr>
        <w:t>-</w:t>
      </w:r>
      <w:r w:rsidRPr="00EF0690">
        <w:rPr>
          <w:color w:val="92D050"/>
        </w:rPr>
        <w:t>Lauf</w:t>
      </w:r>
    </w:p>
    <w:p w14:paraId="75D65BC9" w14:textId="53286E34" w:rsidR="00EF0690" w:rsidRDefault="00EF0690" w:rsidP="00EF0690">
      <w:pPr>
        <w:pStyle w:val="Listenabsatz"/>
        <w:numPr>
          <w:ilvl w:val="1"/>
          <w:numId w:val="1"/>
        </w:numPr>
        <w:rPr>
          <w:color w:val="92D050"/>
        </w:rPr>
      </w:pPr>
      <w:r w:rsidRPr="00EF0690">
        <w:rPr>
          <w:color w:val="92D050"/>
        </w:rPr>
        <w:t xml:space="preserve">Offenen </w:t>
      </w:r>
      <w:proofErr w:type="spellStart"/>
      <w:r w:rsidRPr="00EF0690">
        <w:rPr>
          <w:color w:val="92D050"/>
        </w:rPr>
        <w:t>Opt</w:t>
      </w:r>
      <w:proofErr w:type="spellEnd"/>
      <w:r w:rsidR="00440CC9">
        <w:rPr>
          <w:color w:val="92D050"/>
        </w:rPr>
        <w:t>.</w:t>
      </w:r>
      <w:r w:rsidRPr="00EF0690">
        <w:rPr>
          <w:color w:val="92D050"/>
        </w:rPr>
        <w:t>-Lauf beenden</w:t>
      </w:r>
      <w:r>
        <w:rPr>
          <w:color w:val="92D050"/>
        </w:rPr>
        <w:t>?</w:t>
      </w:r>
    </w:p>
    <w:p w14:paraId="0DC7CE59" w14:textId="0266A4DE" w:rsidR="00EF0690" w:rsidRPr="00EF0690" w:rsidRDefault="00EF0690" w:rsidP="00EF0690">
      <w:pPr>
        <w:pStyle w:val="Listenabsatz"/>
        <w:numPr>
          <w:ilvl w:val="1"/>
          <w:numId w:val="1"/>
        </w:numPr>
        <w:rPr>
          <w:color w:val="92D050"/>
        </w:rPr>
      </w:pPr>
      <w:r>
        <w:rPr>
          <w:color w:val="92D050"/>
        </w:rPr>
        <w:t>Optimierungsstart</w:t>
      </w:r>
    </w:p>
    <w:p w14:paraId="0267FCF8" w14:textId="293F29C5" w:rsidR="00EF0690" w:rsidRPr="00EF0690" w:rsidRDefault="00EF0690" w:rsidP="00EF0690">
      <w:pPr>
        <w:pStyle w:val="Listenabsatz"/>
        <w:numPr>
          <w:ilvl w:val="0"/>
          <w:numId w:val="1"/>
        </w:numPr>
      </w:pPr>
      <w:r>
        <w:rPr>
          <w:color w:val="FFC000"/>
        </w:rPr>
        <w:t xml:space="preserve">Auswahl Optimierungsumfang: </w:t>
      </w:r>
    </w:p>
    <w:p w14:paraId="6B669130" w14:textId="45DB2003" w:rsidR="00EF0690" w:rsidRPr="00EF0690" w:rsidRDefault="00EF0690" w:rsidP="00EF0690">
      <w:pPr>
        <w:pStyle w:val="Listenabsatz"/>
        <w:numPr>
          <w:ilvl w:val="1"/>
          <w:numId w:val="1"/>
        </w:numPr>
      </w:pPr>
      <w:r w:rsidRPr="00EF0690">
        <w:rPr>
          <w:color w:val="FFC000"/>
        </w:rPr>
        <w:t>Selektionsprofil</w:t>
      </w:r>
      <w:r>
        <w:rPr>
          <w:color w:val="FFC000"/>
        </w:rPr>
        <w:t xml:space="preserve"> (neu)</w:t>
      </w:r>
    </w:p>
    <w:p w14:paraId="5502C4FE" w14:textId="1CE4E617" w:rsidR="00EF0690" w:rsidRPr="00EF0690" w:rsidRDefault="00EF0690" w:rsidP="00EF0690">
      <w:pPr>
        <w:pStyle w:val="Listenabsatz"/>
        <w:numPr>
          <w:ilvl w:val="1"/>
          <w:numId w:val="1"/>
        </w:numPr>
      </w:pPr>
      <w:r>
        <w:rPr>
          <w:color w:val="FFC000"/>
        </w:rPr>
        <w:t>Start Selektionszeitraum</w:t>
      </w:r>
    </w:p>
    <w:p w14:paraId="1DEEF9F7" w14:textId="31C68DEA" w:rsidR="00EF0690" w:rsidRPr="00EF0690" w:rsidRDefault="00EF0690" w:rsidP="00EF0690">
      <w:pPr>
        <w:pStyle w:val="Listenabsatz"/>
        <w:numPr>
          <w:ilvl w:val="1"/>
          <w:numId w:val="1"/>
        </w:numPr>
      </w:pPr>
      <w:r>
        <w:rPr>
          <w:color w:val="FFC000"/>
        </w:rPr>
        <w:t>Ende Selektionszeitraum</w:t>
      </w:r>
    </w:p>
    <w:p w14:paraId="04761037" w14:textId="77777777" w:rsidR="00EF0690" w:rsidRDefault="00EF0690" w:rsidP="00EF0690"/>
    <w:p w14:paraId="3748E0F7" w14:textId="3C7E44F6" w:rsidR="00440CC9" w:rsidRDefault="00440CC9" w:rsidP="00EF0690">
      <w:pPr>
        <w:rPr>
          <w:b/>
          <w:bCs/>
        </w:rPr>
      </w:pPr>
      <w:r w:rsidRPr="00440CC9">
        <w:rPr>
          <w:b/>
          <w:bCs/>
        </w:rPr>
        <w:t>Begrifflichkeiten Administration</w:t>
      </w:r>
      <w:r>
        <w:rPr>
          <w:b/>
          <w:bCs/>
        </w:rPr>
        <w:t xml:space="preserve">: </w:t>
      </w:r>
    </w:p>
    <w:p w14:paraId="719C8856" w14:textId="3E86053F" w:rsidR="00E90744" w:rsidRDefault="00E90744" w:rsidP="00EF0690">
      <w:pPr>
        <w:rPr>
          <w:color w:val="FFC000"/>
        </w:rPr>
      </w:pPr>
      <w:r w:rsidRPr="00E90744">
        <w:rPr>
          <w:color w:val="FFC000"/>
        </w:rPr>
        <w:t xml:space="preserve">Selektionsprofil: </w:t>
      </w:r>
    </w:p>
    <w:p w14:paraId="452FCA2E" w14:textId="2D24B871" w:rsidR="00E90744" w:rsidRDefault="00E90744" w:rsidP="00EF0690">
      <w:pPr>
        <w:rPr>
          <w:color w:val="FFC000"/>
        </w:rPr>
      </w:pPr>
      <w:r>
        <w:rPr>
          <w:color w:val="FFC000"/>
        </w:rPr>
        <w:t xml:space="preserve">Arbeitsplätze Steuerungsart: </w:t>
      </w:r>
    </w:p>
    <w:p w14:paraId="2EB45CC8" w14:textId="37510E5B" w:rsidR="00E90744" w:rsidRPr="004C64CC" w:rsidRDefault="00E90744" w:rsidP="00E90744">
      <w:pPr>
        <w:pStyle w:val="Listenabsatz"/>
        <w:numPr>
          <w:ilvl w:val="0"/>
          <w:numId w:val="2"/>
        </w:numPr>
      </w:pPr>
      <w:r w:rsidRPr="004C64CC">
        <w:t>finit, vollständig, in SAP mit EIGP zurückgeschrieben</w:t>
      </w:r>
      <w:r w:rsidRPr="004C64CC">
        <w:br/>
      </w:r>
      <w:r w:rsidRPr="004C64CC">
        <w:sym w:font="Wingdings" w:char="F0E0"/>
      </w:r>
      <w:r w:rsidRPr="004C64CC">
        <w:t xml:space="preserve"> primär, </w:t>
      </w:r>
      <w:r w:rsidR="00417762" w:rsidRPr="004C64CC">
        <w:t xml:space="preserve">finit </w:t>
      </w:r>
      <w:r w:rsidR="004C64CC">
        <w:t xml:space="preserve">zu </w:t>
      </w:r>
      <w:r w:rsidR="00417762" w:rsidRPr="004C64CC">
        <w:t>optimier</w:t>
      </w:r>
      <w:r w:rsidR="004C64CC">
        <w:t xml:space="preserve">en, </w:t>
      </w:r>
      <w:r w:rsidR="004C64CC" w:rsidRPr="004C64CC">
        <w:rPr>
          <w:color w:val="4EA72E" w:themeColor="accent6"/>
        </w:rPr>
        <w:t>zu optimieren</w:t>
      </w:r>
      <w:r w:rsidR="004C64CC">
        <w:rPr>
          <w:color w:val="4EA72E" w:themeColor="accent6"/>
        </w:rPr>
        <w:t xml:space="preserve"> (O = </w:t>
      </w:r>
      <w:proofErr w:type="spellStart"/>
      <w:r w:rsidR="004C64CC" w:rsidRPr="004C64CC">
        <w:rPr>
          <w:color w:val="4EA72E" w:themeColor="accent6"/>
        </w:rPr>
        <w:t>to</w:t>
      </w:r>
      <w:proofErr w:type="spellEnd"/>
      <w:r w:rsidR="004C64CC" w:rsidRPr="004C64CC">
        <w:rPr>
          <w:color w:val="4EA72E" w:themeColor="accent6"/>
        </w:rPr>
        <w:t xml:space="preserve"> </w:t>
      </w:r>
      <w:proofErr w:type="spellStart"/>
      <w:r w:rsidR="00CD042B">
        <w:rPr>
          <w:color w:val="4EA72E" w:themeColor="accent6"/>
        </w:rPr>
        <w:t>be</w:t>
      </w:r>
      <w:proofErr w:type="spellEnd"/>
      <w:r w:rsidR="00CD042B">
        <w:rPr>
          <w:color w:val="4EA72E" w:themeColor="accent6"/>
        </w:rPr>
        <w:t xml:space="preserve"> </w:t>
      </w:r>
      <w:proofErr w:type="spellStart"/>
      <w:r w:rsidR="004C64CC" w:rsidRPr="004C64CC">
        <w:rPr>
          <w:color w:val="4EA72E" w:themeColor="accent6"/>
        </w:rPr>
        <w:t>optimize</w:t>
      </w:r>
      <w:r w:rsidR="00CD042B">
        <w:rPr>
          <w:color w:val="4EA72E" w:themeColor="accent6"/>
        </w:rPr>
        <w:t>d</w:t>
      </w:r>
      <w:proofErr w:type="spellEnd"/>
      <w:r w:rsidR="004C64CC">
        <w:rPr>
          <w:color w:val="4EA72E" w:themeColor="accent6"/>
        </w:rPr>
        <w:t>)</w:t>
      </w:r>
    </w:p>
    <w:p w14:paraId="15C10C15" w14:textId="5B1A375A" w:rsidR="00E90744" w:rsidRPr="004C64CC" w:rsidRDefault="00E90744" w:rsidP="00E90744">
      <w:pPr>
        <w:pStyle w:val="Listenabsatz"/>
        <w:numPr>
          <w:ilvl w:val="0"/>
          <w:numId w:val="2"/>
        </w:numPr>
      </w:pPr>
      <w:r w:rsidRPr="004C64CC">
        <w:t>finit, vollständig, nicht zurückgeschrieben</w:t>
      </w:r>
      <w:r w:rsidRPr="004C64CC">
        <w:br/>
      </w:r>
      <w:r w:rsidRPr="004C64CC">
        <w:sym w:font="Wingdings" w:char="F0E0"/>
      </w:r>
      <w:r w:rsidRPr="004C64CC">
        <w:t xml:space="preserve"> sekundär, </w:t>
      </w:r>
      <w:r w:rsidR="00417762" w:rsidRPr="004C64CC">
        <w:t xml:space="preserve">finit </w:t>
      </w:r>
      <w:r w:rsidR="004C64CC">
        <w:t xml:space="preserve">zu </w:t>
      </w:r>
      <w:r w:rsidR="00417762" w:rsidRPr="004C64CC">
        <w:t>berücksichtig</w:t>
      </w:r>
      <w:r w:rsidR="004C64CC">
        <w:t xml:space="preserve">en, </w:t>
      </w:r>
      <w:r w:rsidR="004C64CC" w:rsidRPr="004C64CC">
        <w:rPr>
          <w:color w:val="4EA72E" w:themeColor="accent6"/>
        </w:rPr>
        <w:t>zu berücksichtigen</w:t>
      </w:r>
      <w:r w:rsidR="004C64CC">
        <w:rPr>
          <w:color w:val="4EA72E" w:themeColor="accent6"/>
        </w:rPr>
        <w:t xml:space="preserve"> (C</w:t>
      </w:r>
      <w:r w:rsidR="00CD042B">
        <w:rPr>
          <w:color w:val="4EA72E" w:themeColor="accent6"/>
        </w:rPr>
        <w:t xml:space="preserve"> = </w:t>
      </w:r>
      <w:proofErr w:type="spellStart"/>
      <w:r w:rsidR="00CD042B" w:rsidRPr="00CD042B">
        <w:rPr>
          <w:color w:val="4EA72E" w:themeColor="accent6"/>
        </w:rPr>
        <w:t>to</w:t>
      </w:r>
      <w:proofErr w:type="spellEnd"/>
      <w:r w:rsidR="00CD042B" w:rsidRPr="00CD042B">
        <w:rPr>
          <w:color w:val="4EA72E" w:themeColor="accent6"/>
        </w:rPr>
        <w:t xml:space="preserve"> </w:t>
      </w:r>
      <w:proofErr w:type="spellStart"/>
      <w:r w:rsidR="00CD042B" w:rsidRPr="00CD042B">
        <w:rPr>
          <w:color w:val="4EA72E" w:themeColor="accent6"/>
        </w:rPr>
        <w:t>be</w:t>
      </w:r>
      <w:proofErr w:type="spellEnd"/>
      <w:r w:rsidR="00CD042B" w:rsidRPr="00CD042B">
        <w:rPr>
          <w:color w:val="4EA72E" w:themeColor="accent6"/>
        </w:rPr>
        <w:t xml:space="preserve"> </w:t>
      </w:r>
      <w:proofErr w:type="spellStart"/>
      <w:r w:rsidR="00CD042B" w:rsidRPr="00CD042B">
        <w:rPr>
          <w:color w:val="4EA72E" w:themeColor="accent6"/>
        </w:rPr>
        <w:t>considered</w:t>
      </w:r>
      <w:proofErr w:type="spellEnd"/>
      <w:r w:rsidR="004C64CC">
        <w:rPr>
          <w:color w:val="4EA72E" w:themeColor="accent6"/>
        </w:rPr>
        <w:t>)</w:t>
      </w:r>
    </w:p>
    <w:p w14:paraId="7083086D" w14:textId="04EF440F" w:rsidR="00E90744" w:rsidRPr="00CA40DF" w:rsidRDefault="00E90744" w:rsidP="00E90744">
      <w:pPr>
        <w:pStyle w:val="Listenabsatz"/>
        <w:numPr>
          <w:ilvl w:val="0"/>
          <w:numId w:val="2"/>
        </w:numPr>
      </w:pPr>
      <w:r w:rsidRPr="004C64CC">
        <w:t>infinit, unvollständig, nicht zurückgeschrieben</w:t>
      </w:r>
      <w:r w:rsidRPr="004C64CC">
        <w:br/>
      </w:r>
      <w:r w:rsidRPr="004C64CC">
        <w:sym w:font="Wingdings" w:char="F0E0"/>
      </w:r>
      <w:r w:rsidRPr="004C64CC">
        <w:t xml:space="preserve"> tertiär, </w:t>
      </w:r>
      <w:r w:rsidR="00417762" w:rsidRPr="004C64CC">
        <w:t>infinit betrachtet</w:t>
      </w:r>
      <w:r w:rsidR="004C64CC" w:rsidRPr="004C64CC">
        <w:t>, untergeordnet berücksichtigt</w:t>
      </w:r>
      <w:r w:rsidR="004C64CC">
        <w:t xml:space="preserve">, </w:t>
      </w:r>
      <w:r w:rsidR="005B2255">
        <w:rPr>
          <w:color w:val="4EA72E" w:themeColor="accent6"/>
        </w:rPr>
        <w:t>nicht</w:t>
      </w:r>
      <w:r w:rsidR="004C64CC" w:rsidRPr="004C64CC">
        <w:rPr>
          <w:color w:val="4EA72E" w:themeColor="accent6"/>
        </w:rPr>
        <w:t xml:space="preserve"> </w:t>
      </w:r>
      <w:r w:rsidR="005B2255">
        <w:rPr>
          <w:color w:val="4EA72E" w:themeColor="accent6"/>
        </w:rPr>
        <w:t>relevant</w:t>
      </w:r>
      <w:r w:rsidR="004C64CC">
        <w:rPr>
          <w:color w:val="4EA72E" w:themeColor="accent6"/>
        </w:rPr>
        <w:t xml:space="preserve"> (</w:t>
      </w:r>
      <w:r w:rsidR="00CD042B">
        <w:rPr>
          <w:color w:val="4EA72E" w:themeColor="accent6"/>
        </w:rPr>
        <w:t>N = not relevant</w:t>
      </w:r>
      <w:r w:rsidR="004C64CC">
        <w:rPr>
          <w:color w:val="4EA72E" w:themeColor="accent6"/>
        </w:rPr>
        <w:t>)</w:t>
      </w:r>
    </w:p>
    <w:p w14:paraId="7CCE8BCC" w14:textId="77777777" w:rsidR="00CA40DF" w:rsidRDefault="00CA40DF">
      <w:pPr>
        <w:rPr>
          <w:b/>
          <w:bCs/>
        </w:rPr>
      </w:pPr>
      <w:r>
        <w:rPr>
          <w:b/>
          <w:bCs/>
        </w:rPr>
        <w:br w:type="page"/>
      </w:r>
    </w:p>
    <w:p w14:paraId="4E0C64AD" w14:textId="7A3FCDFE" w:rsidR="00CA40DF" w:rsidRDefault="00CA40DF" w:rsidP="00CA40DF">
      <w:pPr>
        <w:rPr>
          <w:b/>
          <w:bCs/>
        </w:rPr>
      </w:pPr>
      <w:r w:rsidRPr="00CA40DF">
        <w:rPr>
          <w:b/>
          <w:bCs/>
        </w:rPr>
        <w:lastRenderedPageBreak/>
        <w:t xml:space="preserve">F1 Hilfen: </w:t>
      </w:r>
    </w:p>
    <w:p w14:paraId="1E102218" w14:textId="0A964F15" w:rsidR="00CA40DF" w:rsidRDefault="00CA40DF" w:rsidP="00CA40DF">
      <w:pPr>
        <w:pStyle w:val="berschrift2"/>
        <w:rPr>
          <w:highlight w:val="green"/>
        </w:rPr>
      </w:pPr>
      <w:bookmarkStart w:id="0" w:name="_Toc1702190916"/>
      <w:r>
        <w:t xml:space="preserve">F1 Hilfe: </w:t>
      </w:r>
      <w:bookmarkEnd w:id="0"/>
      <w:r>
        <w:t>Selektionsprofil</w:t>
      </w:r>
    </w:p>
    <w:p w14:paraId="6BF8A4EB" w14:textId="694338CD" w:rsidR="00CA40DF" w:rsidRPr="00CD57A0" w:rsidRDefault="00CA40DF" w:rsidP="00CA40DF">
      <w:pPr>
        <w:ind w:left="708"/>
        <w:rPr>
          <w:b/>
          <w:bCs/>
        </w:rPr>
      </w:pPr>
      <w:r>
        <w:rPr>
          <w:b/>
          <w:bCs/>
        </w:rPr>
        <w:t>Selektionsprofil</w:t>
      </w:r>
    </w:p>
    <w:p w14:paraId="3CDBC009" w14:textId="2CFF8D2A" w:rsidR="00CA40DF" w:rsidRPr="00CD57A0" w:rsidRDefault="00CA40DF" w:rsidP="00CA40DF">
      <w:pPr>
        <w:spacing w:before="100" w:beforeAutospacing="1" w:after="100" w:afterAutospacing="1" w:line="240" w:lineRule="auto"/>
        <w:ind w:left="708"/>
        <w:rPr>
          <w:rFonts w:ascii="Arial" w:eastAsia="Times New Roman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Das Selektionsprofil definiert die Selektion von Auftragsketten und die Behandlung von Vorgängen im Optimierer auf Arbeitsplatzebene. </w:t>
      </w:r>
      <w:r>
        <w:rPr>
          <w:rFonts w:ascii="Arial" w:hAnsi="Arial" w:cs="Arial"/>
          <w:color w:val="32363A"/>
          <w:sz w:val="19"/>
          <w:szCs w:val="19"/>
        </w:rPr>
        <w:br/>
        <w:t xml:space="preserve">Es können mehrere Selektionsprofile angelegt und bei Optimierungsläufen genutzt werden. </w:t>
      </w:r>
      <w:r>
        <w:rPr>
          <w:rFonts w:ascii="Arial" w:hAnsi="Arial" w:cs="Arial"/>
          <w:color w:val="32363A"/>
          <w:sz w:val="19"/>
          <w:szCs w:val="19"/>
        </w:rPr>
        <w:br/>
        <w:t xml:space="preserve">In einem Selektionsprofil kann für Arbeitsplätze eine Steuerungsart hinterlegt werden. Diese steuert, wie Vorgänge auf dem jeweiligen Arbeitsplatz bei Selektion und Optimierung berücksichtigt werden. </w:t>
      </w:r>
    </w:p>
    <w:p w14:paraId="5562EC10" w14:textId="77777777" w:rsidR="00CA40DF" w:rsidRPr="00CD57A0" w:rsidRDefault="00CA40DF" w:rsidP="00CA40DF">
      <w:pPr>
        <w:ind w:left="708"/>
        <w:rPr>
          <w:b/>
          <w:bCs/>
        </w:rPr>
      </w:pPr>
      <w:r w:rsidRPr="00CD57A0">
        <w:rPr>
          <w:b/>
          <w:bCs/>
        </w:rPr>
        <w:t>Verwendung</w:t>
      </w:r>
    </w:p>
    <w:p w14:paraId="4F071700" w14:textId="5B35612E" w:rsidR="00CA40DF" w:rsidRPr="00CD57A0" w:rsidRDefault="00CA40DF" w:rsidP="00CA40DF">
      <w:pPr>
        <w:spacing w:before="100" w:beforeAutospacing="1" w:after="100" w:afterAutospacing="1" w:line="240" w:lineRule="auto"/>
        <w:ind w:left="708"/>
        <w:rPr>
          <w:rFonts w:ascii="Arial" w:eastAsia="Times New Roman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>Selektionsprofile finden bei der Anlage vom Optimierungsläufen Anwendung. Zusammen mit dem Optimierungsprofil beeinflussen sie maßgeblich die Optimierung</w:t>
      </w:r>
    </w:p>
    <w:p w14:paraId="5E0A3822" w14:textId="77777777" w:rsidR="00CA40DF" w:rsidRDefault="00CA40DF" w:rsidP="00CA40DF">
      <w:pPr>
        <w:ind w:left="708"/>
        <w:rPr>
          <w:b/>
          <w:bCs/>
        </w:rPr>
      </w:pPr>
      <w:r w:rsidRPr="00CD57A0">
        <w:rPr>
          <w:b/>
          <w:bCs/>
        </w:rPr>
        <w:t>Abhängigkeiten</w:t>
      </w:r>
    </w:p>
    <w:p w14:paraId="42F20B6D" w14:textId="63171E5F" w:rsidR="00097AF8" w:rsidRPr="00097AF8" w:rsidRDefault="00097AF8" w:rsidP="00CA40DF">
      <w:pPr>
        <w:ind w:left="708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Um einem Optimierungslauf starten zu können, muss mindestens ein Selektionsprofil gepflegt sein. </w:t>
      </w:r>
    </w:p>
    <w:p w14:paraId="49186816" w14:textId="5069009D" w:rsidR="00CA40DF" w:rsidRDefault="00CA40DF" w:rsidP="00CA40DF">
      <w:pPr>
        <w:ind w:left="708"/>
        <w:rPr>
          <w:b/>
          <w:bCs/>
        </w:rPr>
      </w:pPr>
      <w:r w:rsidRPr="00CD57A0">
        <w:rPr>
          <w:b/>
          <w:bCs/>
        </w:rPr>
        <w:t>Beispiel</w:t>
      </w:r>
      <w:r w:rsidR="00097AF8">
        <w:rPr>
          <w:b/>
          <w:bCs/>
        </w:rPr>
        <w:br/>
      </w:r>
    </w:p>
    <w:p w14:paraId="144720F9" w14:textId="57F0EAB5" w:rsidR="00097AF8" w:rsidRDefault="00097AF8" w:rsidP="00097AF8">
      <w:pPr>
        <w:pStyle w:val="berschrift2"/>
        <w:rPr>
          <w:highlight w:val="green"/>
        </w:rPr>
      </w:pPr>
      <w:r>
        <w:t>F1 Hilfe: Steuerungsart</w:t>
      </w:r>
    </w:p>
    <w:p w14:paraId="07C8AC8E" w14:textId="4388DF9C" w:rsidR="00097AF8" w:rsidRPr="00CD57A0" w:rsidRDefault="00097AF8" w:rsidP="00097AF8">
      <w:pPr>
        <w:ind w:left="708"/>
        <w:rPr>
          <w:b/>
          <w:bCs/>
        </w:rPr>
      </w:pPr>
      <w:r>
        <w:rPr>
          <w:b/>
          <w:bCs/>
        </w:rPr>
        <w:t>Steuerungsart</w:t>
      </w:r>
    </w:p>
    <w:p w14:paraId="37D61091" w14:textId="77777777" w:rsidR="00097AF8" w:rsidRDefault="00097AF8" w:rsidP="00097AF8">
      <w:pPr>
        <w:spacing w:before="100" w:beforeAutospacing="1" w:after="100" w:afterAutospacing="1" w:line="240" w:lineRule="auto"/>
        <w:ind w:left="708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Innerhalb eines Selektionsprofiles bestimmt die Steuerungsart je Arbeitsplatz, wie die Vorgänge im Optimierer berücksichtigt werden. Aktuell existieren drei unterschiedliche Steuerungsarten: </w:t>
      </w:r>
    </w:p>
    <w:p w14:paraId="5226AD39" w14:textId="77777777" w:rsidR="00097AF8" w:rsidRDefault="00097AF8" w:rsidP="00097AF8">
      <w:pPr>
        <w:spacing w:before="100" w:beforeAutospacing="1" w:after="100" w:afterAutospacing="1" w:line="240" w:lineRule="auto"/>
        <w:ind w:left="708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>O = zu Optimieren</w:t>
      </w:r>
    </w:p>
    <w:p w14:paraId="55477B8A" w14:textId="3E6E52EC" w:rsidR="00097AF8" w:rsidRDefault="00097AF8" w:rsidP="00202587">
      <w:pPr>
        <w:spacing w:before="100" w:beforeAutospacing="1" w:after="100" w:afterAutospacing="1" w:line="240" w:lineRule="auto"/>
        <w:ind w:left="993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Arbeitsplätze mit dem Kennzeichen O werden finit und vollständig geplant, sowie bei der Rückintegration auch ins SAP </w:t>
      </w:r>
      <w:r w:rsidR="00202587">
        <w:rPr>
          <w:rFonts w:ascii="Arial" w:hAnsi="Arial" w:cs="Arial"/>
          <w:color w:val="32363A"/>
          <w:sz w:val="19"/>
          <w:szCs w:val="19"/>
        </w:rPr>
        <w:t xml:space="preserve">mit dem Status EIGP </w:t>
      </w:r>
      <w:r>
        <w:rPr>
          <w:rFonts w:ascii="Arial" w:hAnsi="Arial" w:cs="Arial"/>
          <w:color w:val="32363A"/>
          <w:sz w:val="19"/>
          <w:szCs w:val="19"/>
        </w:rPr>
        <w:t xml:space="preserve">zurückgeschrieben. </w:t>
      </w:r>
      <w:r>
        <w:rPr>
          <w:rFonts w:ascii="Arial" w:hAnsi="Arial" w:cs="Arial"/>
          <w:color w:val="32363A"/>
          <w:sz w:val="19"/>
          <w:szCs w:val="19"/>
        </w:rPr>
        <w:br/>
        <w:t xml:space="preserve">Alle Auftragsketten, bei denen mindestens ein Vorgang über einen Arbeitsplatz mit der Steuerungsart O läuft, werden bei der Optimierung vollständig berücksichtigt. </w:t>
      </w:r>
    </w:p>
    <w:p w14:paraId="542644D9" w14:textId="4DA21F2D" w:rsidR="00202587" w:rsidRDefault="00202587" w:rsidP="00202587">
      <w:pPr>
        <w:spacing w:before="100" w:beforeAutospacing="1" w:after="100" w:afterAutospacing="1" w:line="240" w:lineRule="auto"/>
        <w:ind w:left="993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Diese Arbeitsplätze sollen durch den Optimierer feingeplant werden. </w:t>
      </w:r>
    </w:p>
    <w:p w14:paraId="006FE0BA" w14:textId="77777777" w:rsidR="00097AF8" w:rsidRDefault="00097AF8" w:rsidP="00097AF8">
      <w:pPr>
        <w:spacing w:before="100" w:beforeAutospacing="1" w:after="100" w:afterAutospacing="1" w:line="240" w:lineRule="auto"/>
        <w:ind w:left="708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>C = zu berücksichtigen</w:t>
      </w:r>
    </w:p>
    <w:p w14:paraId="558BC6F1" w14:textId="727F302B" w:rsidR="00202587" w:rsidRDefault="00097AF8" w:rsidP="00202587">
      <w:pPr>
        <w:spacing w:before="100" w:beforeAutospacing="1" w:after="100" w:afterAutospacing="1" w:line="240" w:lineRule="auto"/>
        <w:ind w:left="993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Arbeitsplätze mit dem Kennzeichen C werden </w:t>
      </w:r>
      <w:r w:rsidR="00202587">
        <w:rPr>
          <w:rFonts w:ascii="Arial" w:hAnsi="Arial" w:cs="Arial"/>
          <w:color w:val="32363A"/>
          <w:sz w:val="19"/>
          <w:szCs w:val="19"/>
        </w:rPr>
        <w:t xml:space="preserve">ebenfalls </w:t>
      </w:r>
      <w:r>
        <w:rPr>
          <w:rFonts w:ascii="Arial" w:hAnsi="Arial" w:cs="Arial"/>
          <w:color w:val="32363A"/>
          <w:sz w:val="19"/>
          <w:szCs w:val="19"/>
        </w:rPr>
        <w:t>finit und vollständig geplant</w:t>
      </w:r>
      <w:r w:rsidR="00202587">
        <w:rPr>
          <w:rFonts w:ascii="Arial" w:hAnsi="Arial" w:cs="Arial"/>
          <w:color w:val="32363A"/>
          <w:sz w:val="19"/>
          <w:szCs w:val="19"/>
        </w:rPr>
        <w:t xml:space="preserve">, aber die Vorgänge erhalten bei der Rückintegration nicht den Status EIGP. </w:t>
      </w:r>
      <w:r w:rsidR="00202587">
        <w:rPr>
          <w:rFonts w:ascii="Arial" w:hAnsi="Arial" w:cs="Arial"/>
          <w:color w:val="32363A"/>
          <w:sz w:val="19"/>
          <w:szCs w:val="19"/>
        </w:rPr>
        <w:br/>
        <w:t xml:space="preserve">Neben den Vorgängen aus den zuvor ermittelten Auftragsketten werden weitere Vorgänge von anderen Auftragsketten berücksichtigt, damit ein vollständiges Bild auf dem Arbeitsplatz entsteht. </w:t>
      </w:r>
      <w:r w:rsidR="00202587">
        <w:rPr>
          <w:rFonts w:ascii="Arial" w:hAnsi="Arial" w:cs="Arial"/>
          <w:color w:val="32363A"/>
          <w:sz w:val="19"/>
          <w:szCs w:val="19"/>
        </w:rPr>
        <w:br/>
        <w:t xml:space="preserve">Vorgänge die manuell fixiert wurden, oder bereits bei der Ausleitung den Status EIGP hatten, werden für den Optimierer fixiert und behalten den jeweiligen Status auch nach der Rückintegration. </w:t>
      </w:r>
    </w:p>
    <w:p w14:paraId="0F4D9F9B" w14:textId="2BBBC188" w:rsidR="00097AF8" w:rsidRDefault="00202587" w:rsidP="00202587">
      <w:pPr>
        <w:spacing w:before="100" w:beforeAutospacing="1" w:after="100" w:afterAutospacing="1" w:line="240" w:lineRule="auto"/>
        <w:ind w:left="993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>D</w:t>
      </w:r>
      <w:r w:rsidR="00097AF8">
        <w:rPr>
          <w:rFonts w:ascii="Arial" w:hAnsi="Arial" w:cs="Arial"/>
          <w:color w:val="32363A"/>
          <w:sz w:val="19"/>
          <w:szCs w:val="19"/>
        </w:rPr>
        <w:t xml:space="preserve">iese Arbeitsplätze spielen eine eher untergeordnete Rolle. </w:t>
      </w:r>
      <w:r w:rsidR="00097AF8">
        <w:rPr>
          <w:rFonts w:ascii="Arial" w:hAnsi="Arial" w:cs="Arial"/>
          <w:color w:val="32363A"/>
          <w:sz w:val="19"/>
          <w:szCs w:val="19"/>
        </w:rPr>
        <w:br/>
      </w:r>
    </w:p>
    <w:p w14:paraId="3994CAC5" w14:textId="3CEF7346" w:rsidR="00097AF8" w:rsidRDefault="00097AF8" w:rsidP="00097AF8">
      <w:pPr>
        <w:spacing w:before="100" w:beforeAutospacing="1" w:after="100" w:afterAutospacing="1" w:line="240" w:lineRule="auto"/>
        <w:ind w:left="708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N = nicht relevant </w:t>
      </w:r>
    </w:p>
    <w:p w14:paraId="04F1EE1A" w14:textId="615E7FEB" w:rsidR="00097AF8" w:rsidRDefault="00202587" w:rsidP="00202587">
      <w:pPr>
        <w:spacing w:before="100" w:beforeAutospacing="1" w:after="100" w:afterAutospacing="1" w:line="240" w:lineRule="auto"/>
        <w:ind w:left="993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lastRenderedPageBreak/>
        <w:t xml:space="preserve">Arbeitsplätze mit dem Kennzeichen N werden infinit geplant und ggf. unvollständig eingelesen aber die Vorgänge erhalten bei der Rückintegration nicht den Status EIGP. </w:t>
      </w:r>
      <w:r>
        <w:rPr>
          <w:rFonts w:ascii="Arial" w:hAnsi="Arial" w:cs="Arial"/>
          <w:color w:val="32363A"/>
          <w:sz w:val="19"/>
          <w:szCs w:val="19"/>
        </w:rPr>
        <w:br/>
        <w:t xml:space="preserve">Aus diesen Arbeitsplätzen werden keine weiteren Vorgänge aus anderen Auftragsketten berücksichtigt. </w:t>
      </w:r>
      <w:r>
        <w:rPr>
          <w:rFonts w:ascii="Arial" w:hAnsi="Arial" w:cs="Arial"/>
          <w:color w:val="32363A"/>
          <w:sz w:val="19"/>
          <w:szCs w:val="19"/>
        </w:rPr>
        <w:br/>
      </w:r>
      <w:r>
        <w:rPr>
          <w:rFonts w:ascii="Arial" w:hAnsi="Arial" w:cs="Arial"/>
          <w:color w:val="32363A"/>
          <w:sz w:val="19"/>
          <w:szCs w:val="19"/>
        </w:rPr>
        <w:br/>
        <w:t xml:space="preserve">Diese Arbeitsplätze spielen keine Rolle für eine Optimierung. </w:t>
      </w:r>
      <w:r>
        <w:rPr>
          <w:rFonts w:ascii="Arial" w:hAnsi="Arial" w:cs="Arial"/>
          <w:color w:val="32363A"/>
          <w:sz w:val="19"/>
          <w:szCs w:val="19"/>
        </w:rPr>
        <w:br/>
      </w:r>
      <w:r>
        <w:rPr>
          <w:rFonts w:ascii="Arial" w:hAnsi="Arial" w:cs="Arial"/>
          <w:color w:val="32363A"/>
          <w:sz w:val="19"/>
          <w:szCs w:val="19"/>
        </w:rPr>
        <w:br/>
        <w:t>Vorgänge die manuell fixiert wurden, oder bereits bei der Ausleitung den Status EIGP hatten, werden für den Optimierer fixiert und behalten den jeweiligen Status auch nach der Rückintegration.</w:t>
      </w:r>
    </w:p>
    <w:p w14:paraId="175747F5" w14:textId="77777777" w:rsidR="00097AF8" w:rsidRPr="00CD57A0" w:rsidRDefault="00097AF8" w:rsidP="00097AF8">
      <w:pPr>
        <w:ind w:left="708"/>
        <w:rPr>
          <w:b/>
          <w:bCs/>
        </w:rPr>
      </w:pPr>
      <w:r w:rsidRPr="00CD57A0">
        <w:rPr>
          <w:b/>
          <w:bCs/>
        </w:rPr>
        <w:t>Verwendung</w:t>
      </w:r>
    </w:p>
    <w:p w14:paraId="0A702E97" w14:textId="5069F757" w:rsidR="00097AF8" w:rsidRDefault="00202587" w:rsidP="00097AF8">
      <w:pPr>
        <w:spacing w:before="100" w:beforeAutospacing="1" w:after="100" w:afterAutospacing="1" w:line="240" w:lineRule="auto"/>
        <w:ind w:left="708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Über die Steuerungsart können die Arbeitsplätze im Optimierer unterschiedlich behandelt werden. Zudem ist es möglich, nur einen Teil der Aufträge eines Werkes zu </w:t>
      </w:r>
      <w:r w:rsidR="00D44C36">
        <w:rPr>
          <w:rFonts w:ascii="Arial" w:hAnsi="Arial" w:cs="Arial"/>
          <w:color w:val="32363A"/>
          <w:sz w:val="19"/>
          <w:szCs w:val="19"/>
        </w:rPr>
        <w:t>o</w:t>
      </w:r>
      <w:r>
        <w:rPr>
          <w:rFonts w:ascii="Arial" w:hAnsi="Arial" w:cs="Arial"/>
          <w:color w:val="32363A"/>
          <w:sz w:val="19"/>
          <w:szCs w:val="19"/>
        </w:rPr>
        <w:t>ptimieren</w:t>
      </w:r>
      <w:r w:rsidR="00D44C36">
        <w:rPr>
          <w:rFonts w:ascii="Arial" w:hAnsi="Arial" w:cs="Arial"/>
          <w:color w:val="32363A"/>
          <w:sz w:val="19"/>
          <w:szCs w:val="19"/>
        </w:rPr>
        <w:t xml:space="preserve">, oder mehrere Optimierungsläufe zu planen. Durch eine sinnvolle Einstellung beeinflussen sich die Optimierungsläufe dann nicht.  </w:t>
      </w:r>
    </w:p>
    <w:p w14:paraId="5B83991A" w14:textId="7B16FED8" w:rsidR="00D44C36" w:rsidRDefault="00D44C36" w:rsidP="00097AF8">
      <w:pPr>
        <w:spacing w:before="100" w:beforeAutospacing="1" w:after="100" w:afterAutospacing="1" w:line="240" w:lineRule="auto"/>
        <w:ind w:left="708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Die Pflege folgt der SAP Standard Logik. Einträge können ein- oder ausgeschlossen werden.  </w:t>
      </w:r>
    </w:p>
    <w:p w14:paraId="0CB80D42" w14:textId="77777777" w:rsidR="00097AF8" w:rsidRDefault="00097AF8" w:rsidP="00097AF8">
      <w:pPr>
        <w:ind w:left="708"/>
        <w:rPr>
          <w:b/>
          <w:bCs/>
        </w:rPr>
      </w:pPr>
      <w:r w:rsidRPr="00CD57A0">
        <w:rPr>
          <w:b/>
          <w:bCs/>
        </w:rPr>
        <w:t>Abhängigkeiten</w:t>
      </w:r>
    </w:p>
    <w:p w14:paraId="0BE14B83" w14:textId="5C21EDC8" w:rsidR="00097AF8" w:rsidRPr="00097AF8" w:rsidRDefault="00D44C36" w:rsidP="00097AF8">
      <w:pPr>
        <w:ind w:left="708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Der Optimierer benötigt immer ein konsistentes Bild der Vorgänge auf den Arbeitsplätzen. Bei der Ausleitung der Daten wird sichergestellt, dass Auftragsketten immer vollständig gelesen und verarbeitet werden. </w:t>
      </w:r>
      <w:r>
        <w:rPr>
          <w:rFonts w:ascii="Arial" w:hAnsi="Arial" w:cs="Arial"/>
          <w:color w:val="32363A"/>
          <w:sz w:val="19"/>
          <w:szCs w:val="19"/>
        </w:rPr>
        <w:br/>
        <w:t xml:space="preserve">Je nach Datensituation und Einstellung der Arbeitsplätze kann es passieren, dass trotz einschränkender Einstellung alle Auftragsketten selektiert werden, weil sie als relevant für die Optimierung erkannt wurden. </w:t>
      </w:r>
    </w:p>
    <w:p w14:paraId="5D1A8C59" w14:textId="77777777" w:rsidR="00097AF8" w:rsidRDefault="00097AF8" w:rsidP="00097AF8">
      <w:pPr>
        <w:ind w:left="708"/>
        <w:rPr>
          <w:b/>
          <w:bCs/>
        </w:rPr>
      </w:pPr>
      <w:r w:rsidRPr="00CD57A0">
        <w:rPr>
          <w:b/>
          <w:bCs/>
        </w:rPr>
        <w:t>Beispiel</w:t>
      </w:r>
    </w:p>
    <w:p w14:paraId="75C50F4F" w14:textId="11658E8F" w:rsidR="00D44C36" w:rsidRPr="00D44C36" w:rsidRDefault="00086FB5" w:rsidP="00D44C36">
      <w:pPr>
        <w:ind w:left="708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>Beispiel 1: Die Linien 1 bis 4 sollen optimiert werden. Die vorgelagerte Säge soll zwar berücksichtigt, aber die Vorgänge dort nicht eingeplant werden. Alle anderen Arbeitsplätze spielen keine Rolle.</w:t>
      </w:r>
    </w:p>
    <w:p w14:paraId="74CD32E8" w14:textId="2AAEF4BD" w:rsidR="00D44C36" w:rsidRPr="00D44C36" w:rsidRDefault="00D44C36" w:rsidP="00D44C36">
      <w:pPr>
        <w:pStyle w:val="Listenabsatz"/>
        <w:numPr>
          <w:ilvl w:val="0"/>
          <w:numId w:val="4"/>
        </w:numPr>
        <w:rPr>
          <w:rFonts w:ascii="Arial" w:hAnsi="Arial" w:cs="Arial"/>
          <w:color w:val="32363A"/>
          <w:sz w:val="19"/>
          <w:szCs w:val="19"/>
        </w:rPr>
      </w:pPr>
      <w:r w:rsidRPr="00D44C36">
        <w:rPr>
          <w:rFonts w:ascii="Arial" w:hAnsi="Arial" w:cs="Arial"/>
          <w:color w:val="32363A"/>
          <w:sz w:val="19"/>
          <w:szCs w:val="19"/>
        </w:rPr>
        <w:t>Selektionsprofil:</w:t>
      </w:r>
      <w:r>
        <w:rPr>
          <w:rFonts w:ascii="Arial" w:hAnsi="Arial" w:cs="Arial"/>
          <w:color w:val="32363A"/>
          <w:sz w:val="19"/>
          <w:szCs w:val="19"/>
        </w:rPr>
        <w:t xml:space="preserve"> </w:t>
      </w:r>
      <w:r w:rsidRPr="00D44C36">
        <w:rPr>
          <w:rFonts w:ascii="Arial" w:hAnsi="Arial" w:cs="Arial"/>
          <w:color w:val="32363A"/>
          <w:sz w:val="19"/>
          <w:szCs w:val="19"/>
        </w:rPr>
        <w:t>Linie 1 – 4</w:t>
      </w:r>
    </w:p>
    <w:p w14:paraId="4C3EB147" w14:textId="05C98D54" w:rsidR="00D44C36" w:rsidRDefault="00086FB5" w:rsidP="00D44C36">
      <w:pPr>
        <w:pStyle w:val="Listenabsatz"/>
        <w:numPr>
          <w:ilvl w:val="0"/>
          <w:numId w:val="3"/>
        </w:numPr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Werk „1000“, </w:t>
      </w:r>
      <w:r>
        <w:rPr>
          <w:rFonts w:ascii="Arial" w:hAnsi="Arial" w:cs="Arial"/>
          <w:color w:val="32363A"/>
          <w:sz w:val="19"/>
          <w:szCs w:val="19"/>
        </w:rPr>
        <w:tab/>
        <w:t xml:space="preserve">Arbeitsplatz „Linie 1“, </w:t>
      </w:r>
      <w:r>
        <w:rPr>
          <w:rFonts w:ascii="Arial" w:hAnsi="Arial" w:cs="Arial"/>
          <w:color w:val="32363A"/>
          <w:sz w:val="19"/>
          <w:szCs w:val="19"/>
        </w:rPr>
        <w:tab/>
        <w:t xml:space="preserve">Steuerungsart „O“ </w:t>
      </w:r>
    </w:p>
    <w:p w14:paraId="0EC4C198" w14:textId="203F8578" w:rsidR="00086FB5" w:rsidRDefault="00086FB5" w:rsidP="00D44C36">
      <w:pPr>
        <w:pStyle w:val="Listenabsatz"/>
        <w:numPr>
          <w:ilvl w:val="0"/>
          <w:numId w:val="3"/>
        </w:numPr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Werk „1000“, </w:t>
      </w:r>
      <w:r>
        <w:rPr>
          <w:rFonts w:ascii="Arial" w:hAnsi="Arial" w:cs="Arial"/>
          <w:color w:val="32363A"/>
          <w:sz w:val="19"/>
          <w:szCs w:val="19"/>
        </w:rPr>
        <w:tab/>
        <w:t>Arbeitsplatz „</w:t>
      </w:r>
      <w:r w:rsidRPr="00086FB5">
        <w:rPr>
          <w:rFonts w:ascii="Arial" w:hAnsi="Arial" w:cs="Arial"/>
          <w:color w:val="32363A"/>
          <w:sz w:val="19"/>
          <w:szCs w:val="19"/>
        </w:rPr>
        <w:t>Linie 2</w:t>
      </w:r>
      <w:r>
        <w:rPr>
          <w:rFonts w:ascii="Arial" w:hAnsi="Arial" w:cs="Arial"/>
          <w:color w:val="32363A"/>
          <w:sz w:val="19"/>
          <w:szCs w:val="19"/>
        </w:rPr>
        <w:t xml:space="preserve">“, </w:t>
      </w:r>
      <w:r>
        <w:rPr>
          <w:rFonts w:ascii="Arial" w:hAnsi="Arial" w:cs="Arial"/>
          <w:color w:val="32363A"/>
          <w:sz w:val="19"/>
          <w:szCs w:val="19"/>
        </w:rPr>
        <w:tab/>
        <w:t xml:space="preserve">Steuerungsart „O“ </w:t>
      </w:r>
    </w:p>
    <w:p w14:paraId="38DA97B0" w14:textId="3FF00EAC" w:rsidR="00D44C36" w:rsidRPr="00086FB5" w:rsidRDefault="00086FB5" w:rsidP="00D44C36">
      <w:pPr>
        <w:pStyle w:val="Listenabsatz"/>
        <w:numPr>
          <w:ilvl w:val="0"/>
          <w:numId w:val="3"/>
        </w:numPr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Werk „1000“, </w:t>
      </w:r>
      <w:r>
        <w:rPr>
          <w:rFonts w:ascii="Arial" w:hAnsi="Arial" w:cs="Arial"/>
          <w:color w:val="32363A"/>
          <w:sz w:val="19"/>
          <w:szCs w:val="19"/>
        </w:rPr>
        <w:tab/>
        <w:t>Arbeitsplatz „</w:t>
      </w:r>
      <w:r w:rsidRPr="00086FB5">
        <w:rPr>
          <w:rFonts w:ascii="Arial" w:hAnsi="Arial" w:cs="Arial"/>
          <w:color w:val="32363A"/>
          <w:sz w:val="19"/>
          <w:szCs w:val="19"/>
        </w:rPr>
        <w:t>Linie 3</w:t>
      </w:r>
      <w:r>
        <w:rPr>
          <w:rFonts w:ascii="Arial" w:hAnsi="Arial" w:cs="Arial"/>
          <w:color w:val="32363A"/>
          <w:sz w:val="19"/>
          <w:szCs w:val="19"/>
        </w:rPr>
        <w:t xml:space="preserve">“,  </w:t>
      </w:r>
      <w:r>
        <w:rPr>
          <w:rFonts w:ascii="Arial" w:hAnsi="Arial" w:cs="Arial"/>
          <w:color w:val="32363A"/>
          <w:sz w:val="19"/>
          <w:szCs w:val="19"/>
        </w:rPr>
        <w:tab/>
        <w:t>Steuerungsart „O“</w:t>
      </w:r>
    </w:p>
    <w:p w14:paraId="33603C67" w14:textId="776FAF04" w:rsidR="00086FB5" w:rsidRDefault="00086FB5" w:rsidP="00D44C36">
      <w:pPr>
        <w:pStyle w:val="Listenabsatz"/>
        <w:numPr>
          <w:ilvl w:val="0"/>
          <w:numId w:val="3"/>
        </w:numPr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Werk „1000“, </w:t>
      </w:r>
      <w:r>
        <w:rPr>
          <w:rFonts w:ascii="Arial" w:hAnsi="Arial" w:cs="Arial"/>
          <w:color w:val="32363A"/>
          <w:sz w:val="19"/>
          <w:szCs w:val="19"/>
        </w:rPr>
        <w:tab/>
        <w:t xml:space="preserve">Arbeitsplatz „Linie 4“,  </w:t>
      </w:r>
      <w:r>
        <w:rPr>
          <w:rFonts w:ascii="Arial" w:hAnsi="Arial" w:cs="Arial"/>
          <w:color w:val="32363A"/>
          <w:sz w:val="19"/>
          <w:szCs w:val="19"/>
        </w:rPr>
        <w:tab/>
        <w:t>Steuerungsart „O“</w:t>
      </w:r>
    </w:p>
    <w:p w14:paraId="0DA0D458" w14:textId="129A1C66" w:rsidR="00D44C36" w:rsidRPr="00D44C36" w:rsidRDefault="00086FB5" w:rsidP="00D44C36">
      <w:pPr>
        <w:pStyle w:val="Listenabsatz"/>
        <w:numPr>
          <w:ilvl w:val="0"/>
          <w:numId w:val="3"/>
        </w:numPr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Werk „1000“, </w:t>
      </w:r>
      <w:r>
        <w:rPr>
          <w:rFonts w:ascii="Arial" w:hAnsi="Arial" w:cs="Arial"/>
          <w:color w:val="32363A"/>
          <w:sz w:val="19"/>
          <w:szCs w:val="19"/>
        </w:rPr>
        <w:tab/>
        <w:t xml:space="preserve">Arbeitsplatz „Säge 1“, </w:t>
      </w:r>
      <w:r>
        <w:rPr>
          <w:rFonts w:ascii="Arial" w:hAnsi="Arial" w:cs="Arial"/>
          <w:color w:val="32363A"/>
          <w:sz w:val="19"/>
          <w:szCs w:val="19"/>
        </w:rPr>
        <w:tab/>
        <w:t>Steuerungsart „C“</w:t>
      </w:r>
      <w:r w:rsidR="00D44C36" w:rsidRPr="00D44C36">
        <w:rPr>
          <w:rFonts w:ascii="Arial" w:hAnsi="Arial" w:cs="Arial"/>
          <w:color w:val="32363A"/>
          <w:sz w:val="19"/>
          <w:szCs w:val="19"/>
        </w:rPr>
        <w:br/>
      </w:r>
      <w:r w:rsidR="00D44C36" w:rsidRPr="00D44C36">
        <w:rPr>
          <w:rFonts w:ascii="Arial" w:hAnsi="Arial" w:cs="Arial"/>
          <w:color w:val="32363A"/>
          <w:sz w:val="19"/>
          <w:szCs w:val="19"/>
        </w:rPr>
        <w:tab/>
      </w:r>
    </w:p>
    <w:p w14:paraId="340AF0D3" w14:textId="10D976D7" w:rsidR="00086FB5" w:rsidRPr="00D44C36" w:rsidRDefault="00086FB5" w:rsidP="00086FB5">
      <w:pPr>
        <w:ind w:left="708"/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Beispiel </w:t>
      </w:r>
      <w:r w:rsidR="00296787">
        <w:rPr>
          <w:rFonts w:ascii="Arial" w:hAnsi="Arial" w:cs="Arial"/>
          <w:color w:val="32363A"/>
          <w:sz w:val="19"/>
          <w:szCs w:val="19"/>
        </w:rPr>
        <w:t>2</w:t>
      </w:r>
      <w:r>
        <w:rPr>
          <w:rFonts w:ascii="Arial" w:hAnsi="Arial" w:cs="Arial"/>
          <w:color w:val="32363A"/>
          <w:sz w:val="19"/>
          <w:szCs w:val="19"/>
        </w:rPr>
        <w:t>: Es sollen alle Arbeitsplätze des Werkes optimiert werden. In den Arbeitsplänen befinden sich aber auch Arbeitsplätze, die keine Rolle spielen sollen.</w:t>
      </w:r>
    </w:p>
    <w:p w14:paraId="22C5AE30" w14:textId="77777777" w:rsidR="00086FB5" w:rsidRPr="00D44C36" w:rsidRDefault="00086FB5" w:rsidP="00086FB5">
      <w:pPr>
        <w:pStyle w:val="Listenabsatz"/>
        <w:numPr>
          <w:ilvl w:val="0"/>
          <w:numId w:val="4"/>
        </w:numPr>
        <w:rPr>
          <w:rFonts w:ascii="Arial" w:hAnsi="Arial" w:cs="Arial"/>
          <w:color w:val="32363A"/>
          <w:sz w:val="19"/>
          <w:szCs w:val="19"/>
        </w:rPr>
      </w:pPr>
      <w:r w:rsidRPr="00D44C36">
        <w:rPr>
          <w:rFonts w:ascii="Arial" w:hAnsi="Arial" w:cs="Arial"/>
          <w:color w:val="32363A"/>
          <w:sz w:val="19"/>
          <w:szCs w:val="19"/>
        </w:rPr>
        <w:t>Selektionsprofil:</w:t>
      </w:r>
      <w:r>
        <w:rPr>
          <w:rFonts w:ascii="Arial" w:hAnsi="Arial" w:cs="Arial"/>
          <w:color w:val="32363A"/>
          <w:sz w:val="19"/>
          <w:szCs w:val="19"/>
        </w:rPr>
        <w:t xml:space="preserve"> </w:t>
      </w:r>
      <w:r w:rsidRPr="00D44C36">
        <w:rPr>
          <w:rFonts w:ascii="Arial" w:hAnsi="Arial" w:cs="Arial"/>
          <w:color w:val="32363A"/>
          <w:sz w:val="19"/>
          <w:szCs w:val="19"/>
        </w:rPr>
        <w:t>Linie 1 – 4</w:t>
      </w:r>
    </w:p>
    <w:p w14:paraId="2EF1C2E9" w14:textId="6387A23F" w:rsidR="00086FB5" w:rsidRDefault="00086FB5" w:rsidP="00086FB5">
      <w:pPr>
        <w:pStyle w:val="Listenabsatz"/>
        <w:numPr>
          <w:ilvl w:val="0"/>
          <w:numId w:val="3"/>
        </w:numPr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Werk „1000“, </w:t>
      </w:r>
      <w:r>
        <w:rPr>
          <w:rFonts w:ascii="Arial" w:hAnsi="Arial" w:cs="Arial"/>
          <w:color w:val="32363A"/>
          <w:sz w:val="19"/>
          <w:szCs w:val="19"/>
        </w:rPr>
        <w:tab/>
        <w:t xml:space="preserve">Arbeitsplatz „  *  “, </w:t>
      </w:r>
      <w:r>
        <w:rPr>
          <w:rFonts w:ascii="Arial" w:hAnsi="Arial" w:cs="Arial"/>
          <w:color w:val="32363A"/>
          <w:sz w:val="19"/>
          <w:szCs w:val="19"/>
        </w:rPr>
        <w:tab/>
        <w:t xml:space="preserve">Steuerungsart „O“ </w:t>
      </w:r>
    </w:p>
    <w:p w14:paraId="26BD1584" w14:textId="696C6D2F" w:rsidR="00086FB5" w:rsidRDefault="00086FB5" w:rsidP="00086FB5">
      <w:pPr>
        <w:pStyle w:val="Listenabsatz"/>
        <w:numPr>
          <w:ilvl w:val="0"/>
          <w:numId w:val="3"/>
        </w:numPr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Werk „1000“, </w:t>
      </w:r>
      <w:r>
        <w:rPr>
          <w:rFonts w:ascii="Arial" w:hAnsi="Arial" w:cs="Arial"/>
          <w:color w:val="32363A"/>
          <w:sz w:val="19"/>
          <w:szCs w:val="19"/>
        </w:rPr>
        <w:tab/>
        <w:t xml:space="preserve">Arbeitsplatz „QS“, </w:t>
      </w:r>
      <w:r>
        <w:rPr>
          <w:rFonts w:ascii="Arial" w:hAnsi="Arial" w:cs="Arial"/>
          <w:color w:val="32363A"/>
          <w:sz w:val="19"/>
          <w:szCs w:val="19"/>
        </w:rPr>
        <w:tab/>
        <w:t>Steuerungsart „N“</w:t>
      </w:r>
    </w:p>
    <w:p w14:paraId="15807711" w14:textId="7FA5A493" w:rsidR="00086FB5" w:rsidRDefault="00086FB5" w:rsidP="00086FB5">
      <w:pPr>
        <w:pStyle w:val="Listenabsatz"/>
        <w:numPr>
          <w:ilvl w:val="0"/>
          <w:numId w:val="3"/>
        </w:numPr>
        <w:rPr>
          <w:rFonts w:ascii="Arial" w:hAnsi="Arial" w:cs="Arial"/>
          <w:color w:val="32363A"/>
          <w:sz w:val="19"/>
          <w:szCs w:val="19"/>
        </w:rPr>
      </w:pPr>
      <w:r>
        <w:rPr>
          <w:rFonts w:ascii="Arial" w:hAnsi="Arial" w:cs="Arial"/>
          <w:color w:val="32363A"/>
          <w:sz w:val="19"/>
          <w:szCs w:val="19"/>
        </w:rPr>
        <w:t xml:space="preserve">Werk „1000“, </w:t>
      </w:r>
      <w:r>
        <w:rPr>
          <w:rFonts w:ascii="Arial" w:hAnsi="Arial" w:cs="Arial"/>
          <w:color w:val="32363A"/>
          <w:sz w:val="19"/>
          <w:szCs w:val="19"/>
        </w:rPr>
        <w:tab/>
        <w:t>Arbeitsplatz „Verpacken“, Steuerungsart „N“</w:t>
      </w:r>
    </w:p>
    <w:p w14:paraId="2AC99DAF" w14:textId="1AD5FB23" w:rsidR="00CA40DF" w:rsidRPr="00CA40DF" w:rsidRDefault="00CA40DF" w:rsidP="00CA40DF"/>
    <w:sectPr w:rsidR="00CA40DF" w:rsidRPr="00CA40DF">
      <w:footerReference w:type="even" r:id="rId7"/>
      <w:footerReference w:type="default" r:id="rId8"/>
      <w:footerReference w:type="firs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C2665C" w14:textId="77777777" w:rsidR="00212973" w:rsidRDefault="00212973" w:rsidP="001C12A5">
      <w:pPr>
        <w:spacing w:after="0" w:line="240" w:lineRule="auto"/>
      </w:pPr>
      <w:r>
        <w:separator/>
      </w:r>
    </w:p>
  </w:endnote>
  <w:endnote w:type="continuationSeparator" w:id="0">
    <w:p w14:paraId="6DB8620D" w14:textId="77777777" w:rsidR="00212973" w:rsidRDefault="00212973" w:rsidP="001C1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3DC5AE" w14:textId="52385C3D" w:rsidR="001C12A5" w:rsidRDefault="001C12A5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7376B0C" wp14:editId="50CAA2EC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70205"/>
              <wp:effectExtent l="0" t="0" r="17145" b="0"/>
              <wp:wrapNone/>
              <wp:docPr id="745024705" name="Textfeld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13EB070" w14:textId="3D039FDD" w:rsidR="001C12A5" w:rsidRPr="001C12A5" w:rsidRDefault="001C12A5" w:rsidP="001C1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1C12A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376B0C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INTERNAL" style="position:absolute;margin-left:0;margin-top:0;width:40.65pt;height:29.1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" filled="f" stroked="f">
              <v:textbox style="mso-fit-shape-to-text:t" inset="0,0,0,15pt">
                <w:txbxContent>
                  <w:p w14:paraId="613EB070" w14:textId="3D039FDD" w:rsidR="001C12A5" w:rsidRPr="001C12A5" w:rsidRDefault="001C12A5" w:rsidP="001C1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1C12A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C53343" w14:textId="0B729B58" w:rsidR="001C12A5" w:rsidRDefault="001C12A5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6BE3537" wp14:editId="74EA78B6">
              <wp:simplePos x="902525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70205"/>
              <wp:effectExtent l="0" t="0" r="17145" b="0"/>
              <wp:wrapNone/>
              <wp:docPr id="628130798" name="Textfeld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4ADF54" w14:textId="14667C6D" w:rsidR="001C12A5" w:rsidRPr="001C12A5" w:rsidRDefault="001C12A5" w:rsidP="001C1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1C12A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BE3537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INTERNAL" style="position:absolute;margin-left:0;margin-top:0;width:40.65pt;height:29.1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" filled="f" stroked="f">
              <v:textbox style="mso-fit-shape-to-text:t" inset="0,0,0,15pt">
                <w:txbxContent>
                  <w:p w14:paraId="354ADF54" w14:textId="14667C6D" w:rsidR="001C12A5" w:rsidRPr="001C12A5" w:rsidRDefault="001C12A5" w:rsidP="001C1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1C12A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69CA03" w14:textId="25ED99B6" w:rsidR="001C12A5" w:rsidRDefault="001C12A5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72E9C9B" wp14:editId="031E7D39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70205"/>
              <wp:effectExtent l="0" t="0" r="17145" b="0"/>
              <wp:wrapNone/>
              <wp:docPr id="312454325" name="Textfeld 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9835A7D" w14:textId="0F3332CC" w:rsidR="001C12A5" w:rsidRPr="001C12A5" w:rsidRDefault="001C12A5" w:rsidP="001C1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1C12A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E9C9B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alt="INTERNAL" style="position:absolute;margin-left:0;margin-top:0;width:40.65pt;height:29.1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" filled="f" stroked="f">
              <v:textbox style="mso-fit-shape-to-text:t" inset="0,0,0,15pt">
                <w:txbxContent>
                  <w:p w14:paraId="09835A7D" w14:textId="0F3332CC" w:rsidR="001C12A5" w:rsidRPr="001C12A5" w:rsidRDefault="001C12A5" w:rsidP="001C1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1C12A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B28508" w14:textId="77777777" w:rsidR="00212973" w:rsidRDefault="00212973" w:rsidP="001C12A5">
      <w:pPr>
        <w:spacing w:after="0" w:line="240" w:lineRule="auto"/>
      </w:pPr>
      <w:r>
        <w:separator/>
      </w:r>
    </w:p>
  </w:footnote>
  <w:footnote w:type="continuationSeparator" w:id="0">
    <w:p w14:paraId="6BF3BCB3" w14:textId="77777777" w:rsidR="00212973" w:rsidRDefault="00212973" w:rsidP="001C12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866151"/>
    <w:multiLevelType w:val="hybridMultilevel"/>
    <w:tmpl w:val="4146902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470F4D1D"/>
    <w:multiLevelType w:val="hybridMultilevel"/>
    <w:tmpl w:val="7FC4E4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DE3A23"/>
    <w:multiLevelType w:val="hybridMultilevel"/>
    <w:tmpl w:val="FF24CD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3F00E5"/>
    <w:multiLevelType w:val="hybridMultilevel"/>
    <w:tmpl w:val="1870E1E6"/>
    <w:lvl w:ilvl="0" w:tplc="04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 w16cid:durableId="1999796303">
    <w:abstractNumId w:val="1"/>
  </w:num>
  <w:num w:numId="2" w16cid:durableId="1247619203">
    <w:abstractNumId w:val="2"/>
  </w:num>
  <w:num w:numId="3" w16cid:durableId="473375578">
    <w:abstractNumId w:val="3"/>
  </w:num>
  <w:num w:numId="4" w16cid:durableId="8881462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2A5"/>
    <w:rsid w:val="00086FB5"/>
    <w:rsid w:val="00097AF8"/>
    <w:rsid w:val="00163081"/>
    <w:rsid w:val="00177E5E"/>
    <w:rsid w:val="001C12A5"/>
    <w:rsid w:val="00202587"/>
    <w:rsid w:val="00212973"/>
    <w:rsid w:val="00296787"/>
    <w:rsid w:val="00301820"/>
    <w:rsid w:val="00311204"/>
    <w:rsid w:val="003754F0"/>
    <w:rsid w:val="00417762"/>
    <w:rsid w:val="00440CC9"/>
    <w:rsid w:val="004C64CC"/>
    <w:rsid w:val="00585704"/>
    <w:rsid w:val="005B2255"/>
    <w:rsid w:val="0064264C"/>
    <w:rsid w:val="00CA40DF"/>
    <w:rsid w:val="00CD042B"/>
    <w:rsid w:val="00D44C36"/>
    <w:rsid w:val="00E90744"/>
    <w:rsid w:val="00ED44C7"/>
    <w:rsid w:val="00EF0690"/>
    <w:rsid w:val="00FC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4A0D7"/>
  <w15:chartTrackingRefBased/>
  <w15:docId w15:val="{40EE6B16-311C-416B-B3CE-E219C32DF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zh-TW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C12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C12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C12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C12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C12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C12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C12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C12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C12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C12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C12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C12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C12A5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C12A5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C12A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C12A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C12A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C12A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C12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C12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C12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C12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C12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C12A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C12A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C12A5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C12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C12A5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C12A5"/>
    <w:rPr>
      <w:b/>
      <w:bCs/>
      <w:smallCaps/>
      <w:color w:val="0F4761" w:themeColor="accent1" w:themeShade="BF"/>
      <w:spacing w:val="5"/>
    </w:rPr>
  </w:style>
  <w:style w:type="paragraph" w:styleId="Fuzeile">
    <w:name w:val="footer"/>
    <w:basedOn w:val="Standard"/>
    <w:link w:val="FuzeileZchn"/>
    <w:uiPriority w:val="99"/>
    <w:unhideWhenUsed/>
    <w:rsid w:val="001C12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C12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699</Words>
  <Characters>4408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5097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Knabe, Björn</dc:creator>
  <cp:keywords/>
  <dc:description/>
  <cp:lastModifiedBy>Knabe, Björn</cp:lastModifiedBy>
  <cp:revision>6</cp:revision>
  <dcterms:created xsi:type="dcterms:W3CDTF">2025-02-10T08:11:00Z</dcterms:created>
  <dcterms:modified xsi:type="dcterms:W3CDTF">2025-02-11T14:20:00Z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129facb5,2c682cc1,257083ee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INTERNAL</vt:lpwstr>
  </property>
  <property fmtid="{D5CDD505-2E9C-101B-9397-08002B2CF9AE}" pid="5" name="MSIP_Label_e97c528e-e8db-4a71-b5cb-4edd5b40a06c_Enabled">
    <vt:lpwstr>true</vt:lpwstr>
  </property>
  <property fmtid="{D5CDD505-2E9C-101B-9397-08002B2CF9AE}" pid="6" name="MSIP_Label_e97c528e-e8db-4a71-b5cb-4edd5b40a06c_SetDate">
    <vt:lpwstr>2025-02-10T08:12:11Z</vt:lpwstr>
  </property>
  <property fmtid="{D5CDD505-2E9C-101B-9397-08002B2CF9AE}" pid="7" name="MSIP_Label_e97c528e-e8db-4a71-b5cb-4edd5b40a06c_Method">
    <vt:lpwstr>Standard</vt:lpwstr>
  </property>
  <property fmtid="{D5CDD505-2E9C-101B-9397-08002B2CF9AE}" pid="8" name="MSIP_Label_e97c528e-e8db-4a71-b5cb-4edd5b40a06c_Name">
    <vt:lpwstr>ifminternal</vt:lpwstr>
  </property>
  <property fmtid="{D5CDD505-2E9C-101B-9397-08002B2CF9AE}" pid="9" name="MSIP_Label_e97c528e-e8db-4a71-b5cb-4edd5b40a06c_SiteId">
    <vt:lpwstr>2782ef14-4849-46b4-b90d-d7e83fc425ca</vt:lpwstr>
  </property>
  <property fmtid="{D5CDD505-2E9C-101B-9397-08002B2CF9AE}" pid="10" name="MSIP_Label_e97c528e-e8db-4a71-b5cb-4edd5b40a06c_ActionId">
    <vt:lpwstr>39d0a500-b9e6-4cd2-9154-09f4c296a95a</vt:lpwstr>
  </property>
  <property fmtid="{D5CDD505-2E9C-101B-9397-08002B2CF9AE}" pid="11" name="MSIP_Label_e97c528e-e8db-4a71-b5cb-4edd5b40a06c_ContentBits">
    <vt:lpwstr>2</vt:lpwstr>
  </property>
</Properties>
</file>