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E3610" w14:textId="415E755F" w:rsidR="002950FD" w:rsidRPr="0001161E" w:rsidRDefault="002950FD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>PREPARE: Programm /GIB/DCC_HIST_PREPARE_N</w:t>
      </w:r>
    </w:p>
    <w:p w14:paraId="5FC9A2D0" w14:textId="2F2E0933" w:rsidR="002F66D2" w:rsidRPr="0001161E" w:rsidRDefault="002F66D2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>Die optimale Zeitraum-Ermittlung zum Lesen der Materialbelege funktioniert u.U. nicht.</w:t>
      </w:r>
    </w:p>
    <w:p w14:paraId="56F74478" w14:textId="2F2CA0B6" w:rsidR="00D938F8" w:rsidRPr="0001161E" w:rsidRDefault="00636E04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 xml:space="preserve">In der Ermittlung der korrekten Zeiträume (längster Zeitraum </w:t>
      </w:r>
      <w:r w:rsidR="00FC5397" w:rsidRPr="0001161E">
        <w:rPr>
          <w:rFonts w:ascii="72 Light" w:hAnsi="72 Light" w:cs="72 Light"/>
        </w:rPr>
        <w:t xml:space="preserve">aller definierten Zeiträume: Bestandsanalyse-Zeitraum, Lagerhüter-Zeitraum, Reichweiten-Zeitraum) </w:t>
      </w:r>
      <w:r w:rsidRPr="0001161E">
        <w:rPr>
          <w:rFonts w:ascii="72 Light" w:hAnsi="72 Light" w:cs="72 Light"/>
        </w:rPr>
        <w:t xml:space="preserve">über alle Werke) in der Datenbeschaffung der Materialbelege wird die Tabelle der </w:t>
      </w:r>
      <w:r w:rsidR="00FC5397" w:rsidRPr="0001161E">
        <w:rPr>
          <w:rFonts w:ascii="72 Light" w:hAnsi="72 Light" w:cs="72 Light"/>
        </w:rPr>
        <w:t xml:space="preserve">Analyse-Zeiträume (Bestandsanalyse-Zeitraum, Lagerhüter-Zeitraum) der </w:t>
      </w:r>
      <w:r w:rsidRPr="0001161E">
        <w:rPr>
          <w:rFonts w:ascii="72 Light" w:hAnsi="72 Light" w:cs="72 Light"/>
        </w:rPr>
        <w:t>aktiven Werke (</w:t>
      </w:r>
      <w:r w:rsidRPr="0001161E">
        <w:rPr>
          <w:rFonts w:ascii="72 Light" w:hAnsi="72 Light" w:cs="72 Light"/>
          <w:b/>
          <w:bCs/>
        </w:rPr>
        <w:t xml:space="preserve">Tabelle </w:t>
      </w:r>
      <w:r w:rsidR="00FC5397" w:rsidRPr="0001161E">
        <w:rPr>
          <w:rFonts w:ascii="72 Light" w:hAnsi="72 Light" w:cs="72 Light"/>
          <w:b/>
          <w:bCs/>
        </w:rPr>
        <w:t>/GIB/DCC_C001</w:t>
      </w:r>
      <w:r w:rsidRPr="0001161E">
        <w:rPr>
          <w:rFonts w:ascii="72 Light" w:hAnsi="72 Light" w:cs="72 Light"/>
        </w:rPr>
        <w:t xml:space="preserve">) und die Tabelle der produktübergreifenden </w:t>
      </w:r>
      <w:r w:rsidR="00FC5397" w:rsidRPr="0001161E">
        <w:rPr>
          <w:rFonts w:ascii="72 Light" w:hAnsi="72 Light" w:cs="72 Light"/>
        </w:rPr>
        <w:t>Einstellungen (</w:t>
      </w:r>
      <w:r w:rsidR="00FC5397" w:rsidRPr="0001161E">
        <w:rPr>
          <w:rFonts w:ascii="72 Light" w:hAnsi="72 Light" w:cs="72 Light"/>
          <w:b/>
          <w:bCs/>
        </w:rPr>
        <w:t>Tabelle /GIB/DC_C002</w:t>
      </w:r>
      <w:r w:rsidR="00FC5397" w:rsidRPr="0001161E">
        <w:rPr>
          <w:rFonts w:ascii="72 Light" w:hAnsi="72 Light" w:cs="72 Light"/>
        </w:rPr>
        <w:t>) für die Reichweiten-Zeiträume gelesen und mit dem „PREPARE-Zeitraum“ der „globalen Daten“ (</w:t>
      </w:r>
      <w:r w:rsidR="00FC5397" w:rsidRPr="0001161E">
        <w:rPr>
          <w:rFonts w:ascii="72 Light" w:hAnsi="72 Light" w:cs="72 Light"/>
          <w:b/>
          <w:bCs/>
        </w:rPr>
        <w:t>Tabelle /GIB/DCC_C003</w:t>
      </w:r>
      <w:r w:rsidR="00FC5397" w:rsidRPr="0001161E">
        <w:rPr>
          <w:rFonts w:ascii="72 Light" w:hAnsi="72 Light" w:cs="72 Light"/>
        </w:rPr>
        <w:t>) abgeglichen.</w:t>
      </w:r>
    </w:p>
    <w:p w14:paraId="2B82D65B" w14:textId="3947A9A9" w:rsidR="00897C65" w:rsidRPr="0001161E" w:rsidRDefault="00FC5397" w:rsidP="001941A7">
      <w:pPr>
        <w:rPr>
          <w:rFonts w:ascii="72 Light" w:hAnsi="72 Light" w:cs="72 Light"/>
          <w:b/>
          <w:bCs/>
        </w:rPr>
      </w:pPr>
      <w:r w:rsidRPr="0001161E">
        <w:rPr>
          <w:rFonts w:ascii="72 Light" w:hAnsi="72 Light" w:cs="72 Light"/>
        </w:rPr>
        <w:t>Wurde jetzt einer der Zeiträume (Bestandsanalyse-Zeitraum, Lagerhüter-Zeitraum, Reichweiten-Zeitraum) erhöht und das Ergebnis des Zeitraum-Checks zeigt, dass d</w:t>
      </w:r>
      <w:r w:rsidR="001941A7" w:rsidRPr="0001161E">
        <w:rPr>
          <w:rFonts w:ascii="72 Light" w:hAnsi="72 Light" w:cs="72 Light"/>
        </w:rPr>
        <w:t>er</w:t>
      </w:r>
      <w:r w:rsidRPr="0001161E">
        <w:rPr>
          <w:rFonts w:ascii="72 Light" w:hAnsi="72 Light" w:cs="72 Light"/>
        </w:rPr>
        <w:t xml:space="preserve"> jetzt </w:t>
      </w:r>
      <w:r w:rsidR="00897C65" w:rsidRPr="0001161E">
        <w:rPr>
          <w:rFonts w:ascii="72 Light" w:hAnsi="72 Light" w:cs="72 Light"/>
        </w:rPr>
        <w:t>über den</w:t>
      </w:r>
      <w:r w:rsidRPr="0001161E">
        <w:rPr>
          <w:rFonts w:ascii="72 Light" w:hAnsi="72 Light" w:cs="72 Light"/>
        </w:rPr>
        <w:t xml:space="preserve"> „längste</w:t>
      </w:r>
      <w:r w:rsidR="00897C65" w:rsidRPr="0001161E">
        <w:rPr>
          <w:rFonts w:ascii="72 Light" w:hAnsi="72 Light" w:cs="72 Light"/>
        </w:rPr>
        <w:t>n</w:t>
      </w:r>
      <w:r w:rsidRPr="0001161E">
        <w:rPr>
          <w:rFonts w:ascii="72 Light" w:hAnsi="72 Light" w:cs="72 Light"/>
        </w:rPr>
        <w:t xml:space="preserve"> Zeitraum“ </w:t>
      </w:r>
      <w:r w:rsidR="00897C65" w:rsidRPr="0001161E">
        <w:rPr>
          <w:rFonts w:ascii="72 Light" w:hAnsi="72 Light" w:cs="72 Light"/>
        </w:rPr>
        <w:t xml:space="preserve">ermittelte neue </w:t>
      </w:r>
      <w:r w:rsidR="001941A7" w:rsidRPr="0001161E">
        <w:rPr>
          <w:rFonts w:ascii="72 Light" w:hAnsi="72 Light" w:cs="72 Light"/>
        </w:rPr>
        <w:t>PREPARE-Zeitraum</w:t>
      </w:r>
      <w:r w:rsidR="00897C65" w:rsidRPr="0001161E">
        <w:rPr>
          <w:rFonts w:ascii="72 Light" w:hAnsi="72 Light" w:cs="72 Light"/>
        </w:rPr>
        <w:t xml:space="preserve"> </w:t>
      </w:r>
      <w:r w:rsidR="001941A7" w:rsidRPr="0001161E">
        <w:rPr>
          <w:rFonts w:ascii="72 Light" w:hAnsi="72 Light" w:cs="72 Light"/>
        </w:rPr>
        <w:t xml:space="preserve">(in Tagen) </w:t>
      </w:r>
      <w:r w:rsidR="00897C65" w:rsidRPr="0001161E">
        <w:rPr>
          <w:rFonts w:ascii="72 Light" w:hAnsi="72 Light" w:cs="72 Light"/>
        </w:rPr>
        <w:t xml:space="preserve">zum Lesen der Materialbelege </w:t>
      </w:r>
      <w:r w:rsidR="001941A7" w:rsidRPr="0001161E">
        <w:rPr>
          <w:rFonts w:ascii="72 Light" w:hAnsi="72 Light" w:cs="72 Light"/>
        </w:rPr>
        <w:t xml:space="preserve">größer als der aktuell in den „globalen Daten“  hinterlegte PREPARE-Zeitraum (in Tagen) ist, wird diese Meldung ausgegeben: </w:t>
      </w:r>
      <w:r w:rsidR="001941A7" w:rsidRPr="0001161E">
        <w:rPr>
          <w:rFonts w:ascii="72 Light" w:hAnsi="72 Light" w:cs="72 Light"/>
          <w:b/>
          <w:bCs/>
        </w:rPr>
        <w:t>„</w:t>
      </w:r>
      <w:r w:rsidR="00897C65" w:rsidRPr="0001161E">
        <w:rPr>
          <w:rFonts w:ascii="72 Light" w:hAnsi="72 Light" w:cs="72 Light"/>
          <w:b/>
          <w:bCs/>
        </w:rPr>
        <w:t xml:space="preserve">Zeitraum geändert - </w:t>
      </w:r>
      <w:proofErr w:type="spellStart"/>
      <w:r w:rsidR="00897C65" w:rsidRPr="0001161E">
        <w:rPr>
          <w:rFonts w:ascii="72 Light" w:hAnsi="72 Light" w:cs="72 Light"/>
          <w:b/>
          <w:bCs/>
        </w:rPr>
        <w:t>Prepare</w:t>
      </w:r>
      <w:proofErr w:type="spellEnd"/>
      <w:r w:rsidR="00897C65" w:rsidRPr="0001161E">
        <w:rPr>
          <w:rFonts w:ascii="72 Light" w:hAnsi="72 Light" w:cs="72 Light"/>
          <w:b/>
          <w:bCs/>
        </w:rPr>
        <w:t xml:space="preserve"> erst nach Bereinigung der Datenbasis möglich</w:t>
      </w:r>
      <w:r w:rsidR="001941A7" w:rsidRPr="0001161E">
        <w:rPr>
          <w:rFonts w:ascii="72 Light" w:hAnsi="72 Light" w:cs="72 Light"/>
          <w:b/>
          <w:bCs/>
        </w:rPr>
        <w:t xml:space="preserve">“ (Message 193 in Nachrichtenklasse /GIB/DCC). </w:t>
      </w:r>
    </w:p>
    <w:p w14:paraId="712E31A0" w14:textId="13EB8A02" w:rsidR="002950FD" w:rsidRPr="0001161E" w:rsidRDefault="002950FD" w:rsidP="001941A7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 xml:space="preserve">Das Programm wird abgebrochen, im BATCH wird dann das Programm und die weitere Verarbeitung in der </w:t>
      </w:r>
      <w:proofErr w:type="spellStart"/>
      <w:r w:rsidRPr="0001161E">
        <w:rPr>
          <w:rFonts w:ascii="72 Light" w:hAnsi="72 Light" w:cs="72 Light"/>
        </w:rPr>
        <w:t>Job</w:t>
      </w:r>
      <w:r w:rsidR="00770BE7" w:rsidRPr="0001161E">
        <w:rPr>
          <w:rFonts w:ascii="72 Light" w:hAnsi="72 Light" w:cs="72 Light"/>
        </w:rPr>
        <w:t>kette</w:t>
      </w:r>
      <w:proofErr w:type="spellEnd"/>
      <w:r w:rsidRPr="0001161E">
        <w:rPr>
          <w:rFonts w:ascii="72 Light" w:hAnsi="72 Light" w:cs="72 Light"/>
        </w:rPr>
        <w:t xml:space="preserve"> abgebrochen. </w:t>
      </w:r>
    </w:p>
    <w:p w14:paraId="49106F80" w14:textId="77777777" w:rsidR="00770BE7" w:rsidRPr="0001161E" w:rsidRDefault="002950FD" w:rsidP="001941A7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 xml:space="preserve">Es muss jetzt geprüft werden, ob die Zeitraum-Anpassung </w:t>
      </w:r>
      <w:r w:rsidR="00770BE7" w:rsidRPr="0001161E">
        <w:rPr>
          <w:rFonts w:ascii="72 Light" w:hAnsi="72 Light" w:cs="72 Light"/>
        </w:rPr>
        <w:t xml:space="preserve">gezielt durchgeführt wurde. </w:t>
      </w:r>
    </w:p>
    <w:p w14:paraId="067C5927" w14:textId="77777777" w:rsidR="00770BE7" w:rsidRPr="0001161E" w:rsidRDefault="00770BE7" w:rsidP="001941A7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 xml:space="preserve">Wenn nein, muss die Anpassung wieder rückgängig gemacht werden und der PREPARE / die </w:t>
      </w:r>
      <w:proofErr w:type="spellStart"/>
      <w:r w:rsidRPr="0001161E">
        <w:rPr>
          <w:rFonts w:ascii="72 Light" w:hAnsi="72 Light" w:cs="72 Light"/>
        </w:rPr>
        <w:t>Jobkette</w:t>
      </w:r>
      <w:proofErr w:type="spellEnd"/>
      <w:r w:rsidRPr="0001161E">
        <w:rPr>
          <w:rFonts w:ascii="72 Light" w:hAnsi="72 Light" w:cs="72 Light"/>
        </w:rPr>
        <w:t xml:space="preserve"> erneut gestartet werden. </w:t>
      </w:r>
    </w:p>
    <w:p w14:paraId="0D448400" w14:textId="178C10BF" w:rsidR="002950FD" w:rsidRPr="0001161E" w:rsidRDefault="00770BE7" w:rsidP="001941A7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 xml:space="preserve">Wenn ja, </w:t>
      </w:r>
      <w:r w:rsidR="00D66FAF" w:rsidRPr="0001161E">
        <w:rPr>
          <w:rFonts w:ascii="72 Light" w:hAnsi="72 Light" w:cs="72 Light"/>
        </w:rPr>
        <w:t xml:space="preserve">müssen in Abstimmung mit dem Kunden, bestimmte (definierte) Maßnahmen </w:t>
      </w:r>
      <w:r w:rsidR="004F7113" w:rsidRPr="0001161E">
        <w:rPr>
          <w:rFonts w:ascii="72 Light" w:hAnsi="72 Light" w:cs="72 Light"/>
        </w:rPr>
        <w:t xml:space="preserve">(erneuter Initial-PREPARE, erneuter Initial-Kennzahlenaufbau, …) </w:t>
      </w:r>
      <w:r w:rsidR="00D66FAF" w:rsidRPr="0001161E">
        <w:rPr>
          <w:rFonts w:ascii="72 Light" w:hAnsi="72 Light" w:cs="72 Light"/>
        </w:rPr>
        <w:t>durchgeführt werden.</w:t>
      </w:r>
    </w:p>
    <w:p w14:paraId="49D9CFBC" w14:textId="35EEC2E2" w:rsidR="00A474B7" w:rsidRPr="0001161E" w:rsidRDefault="00D66FAF" w:rsidP="001941A7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>Das Ganze funktioniert nicht (</w:t>
      </w:r>
      <w:r w:rsidR="00B31FB4" w:rsidRPr="0001161E">
        <w:rPr>
          <w:rFonts w:ascii="72 Light" w:hAnsi="72 Light" w:cs="72 Light"/>
        </w:rPr>
        <w:t xml:space="preserve">PREPARE: </w:t>
      </w:r>
      <w:r w:rsidRPr="0001161E">
        <w:rPr>
          <w:rFonts w:ascii="72 Light" w:hAnsi="72 Light" w:cs="72 Light"/>
        </w:rPr>
        <w:t xml:space="preserve">die Abbruchmeldung 193 wird nicht </w:t>
      </w:r>
      <w:r w:rsidR="00A474B7" w:rsidRPr="0001161E">
        <w:rPr>
          <w:rFonts w:ascii="72 Light" w:hAnsi="72 Light" w:cs="72 Light"/>
        </w:rPr>
        <w:t>ausgelöst, die Anpassung wird nicht erkannt</w:t>
      </w:r>
      <w:r w:rsidR="00B31FB4" w:rsidRPr="0001161E">
        <w:rPr>
          <w:rFonts w:ascii="72 Light" w:hAnsi="72 Light" w:cs="72 Light"/>
        </w:rPr>
        <w:t>;</w:t>
      </w:r>
      <w:r w:rsidR="00A474B7" w:rsidRPr="0001161E">
        <w:rPr>
          <w:rFonts w:ascii="72 Light" w:hAnsi="72 Light" w:cs="72 Light"/>
        </w:rPr>
        <w:t xml:space="preserve"> Kennzahlenaufbau</w:t>
      </w:r>
      <w:r w:rsidR="00B31FB4" w:rsidRPr="0001161E">
        <w:rPr>
          <w:rFonts w:ascii="72 Light" w:hAnsi="72 Light" w:cs="72 Light"/>
        </w:rPr>
        <w:t>:</w:t>
      </w:r>
      <w:r w:rsidR="00A474B7" w:rsidRPr="0001161E">
        <w:rPr>
          <w:rFonts w:ascii="72 Light" w:hAnsi="72 Light" w:cs="72 Light"/>
        </w:rPr>
        <w:t xml:space="preserve"> läuft weiter, ohne genügend </w:t>
      </w:r>
      <w:r w:rsidR="004F7113" w:rsidRPr="0001161E">
        <w:rPr>
          <w:rFonts w:ascii="72 Light" w:hAnsi="72 Light" w:cs="72 Light"/>
        </w:rPr>
        <w:t xml:space="preserve">Perioden für den erweiterten </w:t>
      </w:r>
      <w:r w:rsidR="00A474B7" w:rsidRPr="0001161E">
        <w:rPr>
          <w:rFonts w:ascii="72 Light" w:hAnsi="72 Light" w:cs="72 Light"/>
        </w:rPr>
        <w:t>Lagerhüter</w:t>
      </w:r>
      <w:r w:rsidR="004F7113" w:rsidRPr="0001161E">
        <w:rPr>
          <w:rFonts w:ascii="72 Light" w:hAnsi="72 Light" w:cs="72 Light"/>
        </w:rPr>
        <w:t>-Z</w:t>
      </w:r>
      <w:r w:rsidR="00A474B7" w:rsidRPr="0001161E">
        <w:rPr>
          <w:rFonts w:ascii="72 Light" w:hAnsi="72 Light" w:cs="72 Light"/>
        </w:rPr>
        <w:t>eitraum</w:t>
      </w:r>
      <w:r w:rsidR="004F7113" w:rsidRPr="0001161E">
        <w:rPr>
          <w:rFonts w:ascii="72 Light" w:hAnsi="72 Light" w:cs="72 Light"/>
        </w:rPr>
        <w:t xml:space="preserve"> zu haben</w:t>
      </w:r>
      <w:r w:rsidR="00B31FB4" w:rsidRPr="0001161E">
        <w:rPr>
          <w:rFonts w:ascii="72 Light" w:hAnsi="72 Light" w:cs="72 Light"/>
        </w:rPr>
        <w:t xml:space="preserve"> oder bricht ab, weil das Startdatum des PREPARE nicht angepasst wurde, …</w:t>
      </w:r>
      <w:r w:rsidRPr="0001161E">
        <w:rPr>
          <w:rFonts w:ascii="72 Light" w:hAnsi="72 Light" w:cs="72 Light"/>
        </w:rPr>
        <w:t xml:space="preserve">), wenn </w:t>
      </w:r>
      <w:r w:rsidR="00A474B7" w:rsidRPr="0001161E">
        <w:rPr>
          <w:rFonts w:ascii="72 Light" w:hAnsi="72 Light" w:cs="72 Light"/>
        </w:rPr>
        <w:t xml:space="preserve">das angepasste Werk nicht in den </w:t>
      </w:r>
      <w:r w:rsidRPr="0001161E">
        <w:rPr>
          <w:rFonts w:ascii="72 Light" w:hAnsi="72 Light" w:cs="72 Light"/>
        </w:rPr>
        <w:t>Werke</w:t>
      </w:r>
      <w:r w:rsidR="00A474B7" w:rsidRPr="0001161E">
        <w:rPr>
          <w:rFonts w:ascii="72 Light" w:hAnsi="72 Light" w:cs="72 Light"/>
        </w:rPr>
        <w:t>n</w:t>
      </w:r>
      <w:r w:rsidRPr="0001161E">
        <w:rPr>
          <w:rFonts w:ascii="72 Light" w:hAnsi="72 Light" w:cs="72 Light"/>
        </w:rPr>
        <w:t xml:space="preserve"> </w:t>
      </w:r>
      <w:r w:rsidR="00A474B7" w:rsidRPr="0001161E">
        <w:rPr>
          <w:rFonts w:ascii="72 Light" w:hAnsi="72 Light" w:cs="72 Light"/>
        </w:rPr>
        <w:t>der</w:t>
      </w:r>
      <w:r w:rsidRPr="0001161E">
        <w:rPr>
          <w:rFonts w:ascii="72 Light" w:hAnsi="72 Light" w:cs="72 Light"/>
        </w:rPr>
        <w:t xml:space="preserve"> „produktübergreifenden Einstellungen“ (Tabelle </w:t>
      </w:r>
      <w:r w:rsidRPr="0001161E">
        <w:rPr>
          <w:rFonts w:ascii="72 Light" w:hAnsi="72 Light" w:cs="72 Light"/>
        </w:rPr>
        <w:t xml:space="preserve">/GIB/DC_C002) </w:t>
      </w:r>
      <w:r w:rsidR="00A474B7" w:rsidRPr="0001161E">
        <w:rPr>
          <w:rFonts w:ascii="72 Light" w:hAnsi="72 Light" w:cs="72 Light"/>
        </w:rPr>
        <w:t xml:space="preserve">oder in den </w:t>
      </w:r>
      <w:r w:rsidRPr="0001161E">
        <w:rPr>
          <w:rFonts w:ascii="72 Light" w:hAnsi="72 Light" w:cs="72 Light"/>
        </w:rPr>
        <w:t>Werke</w:t>
      </w:r>
      <w:r w:rsidR="00A474B7" w:rsidRPr="0001161E">
        <w:rPr>
          <w:rFonts w:ascii="72 Light" w:hAnsi="72 Light" w:cs="72 Light"/>
        </w:rPr>
        <w:t>n</w:t>
      </w:r>
      <w:r w:rsidRPr="0001161E">
        <w:rPr>
          <w:rFonts w:ascii="72 Light" w:hAnsi="72 Light" w:cs="72 Light"/>
        </w:rPr>
        <w:t xml:space="preserve"> der „Zeitraum-Tabe</w:t>
      </w:r>
      <w:r w:rsidR="00A474B7" w:rsidRPr="0001161E">
        <w:rPr>
          <w:rFonts w:ascii="72 Light" w:hAnsi="72 Light" w:cs="72 Light"/>
        </w:rPr>
        <w:t xml:space="preserve">lle“ </w:t>
      </w:r>
      <w:r w:rsidRPr="0001161E">
        <w:rPr>
          <w:rFonts w:ascii="72 Light" w:hAnsi="72 Light" w:cs="72 Light"/>
        </w:rPr>
        <w:t xml:space="preserve">(Tabelle /GIB/DCC_C001) </w:t>
      </w:r>
      <w:r w:rsidR="00A474B7" w:rsidRPr="0001161E">
        <w:rPr>
          <w:rFonts w:ascii="72 Light" w:hAnsi="72 Light" w:cs="72 Light"/>
        </w:rPr>
        <w:t>vorhanden ist.</w:t>
      </w:r>
      <w:r w:rsidRPr="0001161E">
        <w:rPr>
          <w:rFonts w:ascii="72 Light" w:hAnsi="72 Light" w:cs="72 Light"/>
        </w:rPr>
        <w:t xml:space="preserve"> </w:t>
      </w:r>
    </w:p>
    <w:p w14:paraId="5BF0466A" w14:textId="08BBCB6E" w:rsidR="00A474B7" w:rsidRPr="0001161E" w:rsidRDefault="00A474B7" w:rsidP="001941A7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>Es werden dann nur die Werke in der Zeitraum-Berechnung betrachtet, die einen Treffer in beiden Tabellen haben.</w:t>
      </w:r>
    </w:p>
    <w:p w14:paraId="49236FDD" w14:textId="736B23D5" w:rsidR="00D66FAF" w:rsidRPr="0001161E" w:rsidRDefault="00D66FAF" w:rsidP="001941A7">
      <w:pPr>
        <w:rPr>
          <w:rFonts w:ascii="72 Light" w:hAnsi="72 Light" w:cs="72 Light"/>
        </w:rPr>
      </w:pPr>
      <w:r w:rsidRPr="0001161E">
        <w:rPr>
          <w:rFonts w:ascii="72 Light" w:hAnsi="72 Light" w:cs="72 Light"/>
          <w:b/>
          <w:bCs/>
        </w:rPr>
        <w:t>Der Grund hierfür ist</w:t>
      </w:r>
      <w:r w:rsidRPr="0001161E">
        <w:rPr>
          <w:rFonts w:ascii="72 Light" w:hAnsi="72 Light" w:cs="72 Light"/>
        </w:rPr>
        <w:t>, dass die Informationen für die Werke mit dem Datenbankview /GIB/DC_001_V (</w:t>
      </w:r>
      <w:proofErr w:type="spellStart"/>
      <w:r w:rsidRPr="0001161E">
        <w:rPr>
          <w:rFonts w:ascii="72 Light" w:hAnsi="72 Light" w:cs="72 Light"/>
        </w:rPr>
        <w:t>Join</w:t>
      </w:r>
      <w:proofErr w:type="spellEnd"/>
      <w:r w:rsidRPr="0001161E">
        <w:rPr>
          <w:rFonts w:ascii="72 Light" w:hAnsi="72 Light" w:cs="72 Light"/>
        </w:rPr>
        <w:t xml:space="preserve">: Tabelle </w:t>
      </w:r>
      <w:r w:rsidRPr="0001161E">
        <w:rPr>
          <w:rFonts w:ascii="72 Light" w:hAnsi="72 Light" w:cs="72 Light"/>
        </w:rPr>
        <w:t>/GIB/DCC_C001</w:t>
      </w:r>
      <w:r w:rsidRPr="0001161E">
        <w:rPr>
          <w:rFonts w:ascii="72 Light" w:hAnsi="72 Light" w:cs="72 Light"/>
        </w:rPr>
        <w:t xml:space="preserve"> + Tabelle </w:t>
      </w:r>
      <w:r w:rsidRPr="0001161E">
        <w:rPr>
          <w:rFonts w:ascii="72 Light" w:hAnsi="72 Light" w:cs="72 Light"/>
        </w:rPr>
        <w:t>/GIB/DC_C002</w:t>
      </w:r>
      <w:r w:rsidRPr="0001161E">
        <w:rPr>
          <w:rFonts w:ascii="72 Light" w:hAnsi="72 Light" w:cs="72 Light"/>
        </w:rPr>
        <w:t xml:space="preserve">) beschafft werden. </w:t>
      </w:r>
    </w:p>
    <w:p w14:paraId="704AA846" w14:textId="6114A4C0" w:rsidR="004F7113" w:rsidRPr="0001161E" w:rsidRDefault="004F7113" w:rsidP="001941A7">
      <w:pPr>
        <w:rPr>
          <w:rFonts w:ascii="72 Light" w:hAnsi="72 Light" w:cs="72 Light"/>
          <w:b/>
          <w:bCs/>
        </w:rPr>
      </w:pPr>
      <w:r w:rsidRPr="0001161E">
        <w:rPr>
          <w:rFonts w:ascii="72 Light" w:hAnsi="72 Light" w:cs="72 Light"/>
          <w:b/>
          <w:bCs/>
        </w:rPr>
        <w:t>Lösung:</w:t>
      </w:r>
    </w:p>
    <w:p w14:paraId="7001366F" w14:textId="324E2D0C" w:rsidR="004F7113" w:rsidRPr="0001161E" w:rsidRDefault="004F7113" w:rsidP="001941A7">
      <w:pPr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 xml:space="preserve">Abbruch des Programms </w:t>
      </w:r>
      <w:r w:rsidRPr="0001161E">
        <w:rPr>
          <w:rFonts w:ascii="72 Light" w:hAnsi="72 Light" w:cs="72 Light"/>
        </w:rPr>
        <w:t>/GIB/DCC_HIST_PREPARE_N</w:t>
      </w:r>
      <w:r w:rsidRPr="0001161E">
        <w:rPr>
          <w:rFonts w:ascii="72 Light" w:hAnsi="72 Light" w:cs="72 Light"/>
        </w:rPr>
        <w:t xml:space="preserve">, wenn in der </w:t>
      </w:r>
      <w:r w:rsidRPr="0001161E">
        <w:rPr>
          <w:rFonts w:ascii="72 Light" w:hAnsi="72 Light" w:cs="72 Light"/>
          <w:b/>
          <w:bCs/>
        </w:rPr>
        <w:t xml:space="preserve">Tabelle </w:t>
      </w:r>
      <w:r w:rsidRPr="0001161E">
        <w:rPr>
          <w:rFonts w:ascii="72 Light" w:hAnsi="72 Light" w:cs="72 Light"/>
          <w:b/>
          <w:bCs/>
        </w:rPr>
        <w:t>/GIB/DCC_C001</w:t>
      </w:r>
      <w:r w:rsidRPr="0001161E">
        <w:rPr>
          <w:rFonts w:ascii="72 Light" w:hAnsi="72 Light" w:cs="72 Light"/>
        </w:rPr>
        <w:t xml:space="preserve"> oder in der </w:t>
      </w:r>
      <w:r w:rsidRPr="0001161E">
        <w:rPr>
          <w:rFonts w:ascii="72 Light" w:hAnsi="72 Light" w:cs="72 Light"/>
          <w:b/>
          <w:bCs/>
        </w:rPr>
        <w:t xml:space="preserve">Tabelle </w:t>
      </w:r>
      <w:r w:rsidRPr="0001161E">
        <w:rPr>
          <w:rFonts w:ascii="72 Light" w:hAnsi="72 Light" w:cs="72 Light"/>
          <w:b/>
          <w:bCs/>
        </w:rPr>
        <w:t>/GIB/DC_C002</w:t>
      </w:r>
      <w:r w:rsidRPr="0001161E">
        <w:rPr>
          <w:rFonts w:ascii="72 Light" w:hAnsi="72 Light" w:cs="72 Light"/>
        </w:rPr>
        <w:t xml:space="preserve"> ein Werk aus der </w:t>
      </w:r>
      <w:r w:rsidRPr="0001161E">
        <w:rPr>
          <w:rFonts w:ascii="72 Light" w:hAnsi="72 Light" w:cs="72 Light"/>
          <w:b/>
          <w:bCs/>
        </w:rPr>
        <w:t>Tabelle /GIB/DCC_C005</w:t>
      </w:r>
      <w:r w:rsidRPr="0001161E">
        <w:rPr>
          <w:rFonts w:ascii="72 Light" w:hAnsi="72 Light" w:cs="72 Light"/>
        </w:rPr>
        <w:t xml:space="preserve"> (aktive GSC-/GXC-Werke) fehlt.</w:t>
      </w:r>
    </w:p>
    <w:p w14:paraId="7C22E4D2" w14:textId="77777777" w:rsidR="0001161E" w:rsidRPr="0001161E" w:rsidRDefault="0001161E" w:rsidP="001941A7">
      <w:pPr>
        <w:rPr>
          <w:rFonts w:ascii="72 Light" w:hAnsi="72 Light" w:cs="72 Light"/>
        </w:rPr>
      </w:pPr>
    </w:p>
    <w:p w14:paraId="006ABBF5" w14:textId="5589DA07" w:rsidR="0001161E" w:rsidRPr="0001161E" w:rsidRDefault="0001161E" w:rsidP="0001161E">
      <w:pPr>
        <w:rPr>
          <w:rFonts w:ascii="72 Light" w:hAnsi="72 Light" w:cs="72 Light"/>
        </w:rPr>
      </w:pPr>
      <w:r w:rsidRPr="0001161E">
        <w:rPr>
          <w:rFonts w:ascii="72 Light" w:hAnsi="72 Light" w:cs="72 Light"/>
          <w:lang w:val="sv-SE"/>
        </w:rPr>
        <w:t xml:space="preserve"> </w:t>
      </w:r>
    </w:p>
    <w:p w14:paraId="44CFDC98" w14:textId="77777777" w:rsidR="0001161E" w:rsidRPr="0001161E" w:rsidRDefault="0001161E" w:rsidP="00B31FB4">
      <w:pPr>
        <w:rPr>
          <w:rFonts w:ascii="72 Light" w:hAnsi="72 Light" w:cs="72 Light"/>
        </w:rPr>
      </w:pPr>
    </w:p>
    <w:p w14:paraId="68F2F98D" w14:textId="77777777" w:rsidR="0001161E" w:rsidRPr="0001161E" w:rsidRDefault="0001161E" w:rsidP="00B31FB4">
      <w:pPr>
        <w:rPr>
          <w:rFonts w:ascii="72 Light" w:hAnsi="72 Light" w:cs="72 Light"/>
        </w:rPr>
      </w:pPr>
    </w:p>
    <w:p w14:paraId="5B4B2B31" w14:textId="77777777" w:rsidR="00B31FB4" w:rsidRPr="0001161E" w:rsidRDefault="00B31FB4" w:rsidP="00B31FB4">
      <w:pPr>
        <w:rPr>
          <w:rFonts w:ascii="72 Light" w:hAnsi="72 Light" w:cs="72 Light"/>
        </w:rPr>
      </w:pPr>
    </w:p>
    <w:p w14:paraId="01371965" w14:textId="77777777" w:rsidR="00B31FB4" w:rsidRPr="0001161E" w:rsidRDefault="00B31FB4" w:rsidP="00B31FB4">
      <w:pPr>
        <w:rPr>
          <w:rFonts w:ascii="72 Light" w:hAnsi="72 Light" w:cs="72 Light"/>
        </w:rPr>
      </w:pPr>
    </w:p>
    <w:p w14:paraId="7FC0366D" w14:textId="77777777" w:rsidR="00D66FAF" w:rsidRPr="0001161E" w:rsidRDefault="00D66FAF" w:rsidP="001941A7">
      <w:pPr>
        <w:rPr>
          <w:rFonts w:ascii="72 Light" w:hAnsi="72 Light" w:cs="72 Light"/>
        </w:rPr>
      </w:pPr>
    </w:p>
    <w:p w14:paraId="667D7576" w14:textId="2FA6D91C" w:rsidR="00E23EB5" w:rsidRPr="0001161E" w:rsidRDefault="00A54BE0" w:rsidP="00E23EB5">
      <w:pPr>
        <w:spacing w:after="0"/>
        <w:rPr>
          <w:rFonts w:ascii="72 Light" w:hAnsi="72 Light" w:cs="72 Light"/>
        </w:rPr>
      </w:pPr>
      <w:r w:rsidRPr="0001161E">
        <w:rPr>
          <w:rFonts w:ascii="72 Light" w:hAnsi="72 Light" w:cs="72 Light"/>
        </w:rPr>
        <w:t xml:space="preserve"> </w:t>
      </w:r>
    </w:p>
    <w:p w14:paraId="2553897D" w14:textId="77777777" w:rsidR="00FC5397" w:rsidRPr="0001161E" w:rsidRDefault="00FC5397">
      <w:pPr>
        <w:rPr>
          <w:rFonts w:ascii="72 Light" w:hAnsi="72 Light" w:cs="72 Light"/>
        </w:rPr>
      </w:pPr>
    </w:p>
    <w:p w14:paraId="56950732" w14:textId="77777777" w:rsidR="00FC5397" w:rsidRPr="0001161E" w:rsidRDefault="00FC5397">
      <w:pPr>
        <w:rPr>
          <w:rFonts w:ascii="72 Light" w:hAnsi="72 Light" w:cs="72 Light"/>
        </w:rPr>
      </w:pPr>
    </w:p>
    <w:sectPr w:rsidR="00FC5397" w:rsidRPr="0001161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E260FA" w14:textId="77777777" w:rsidR="00E80C32" w:rsidRDefault="00E80C32" w:rsidP="00A54BE0">
      <w:pPr>
        <w:spacing w:after="0" w:line="240" w:lineRule="auto"/>
      </w:pPr>
      <w:r>
        <w:separator/>
      </w:r>
    </w:p>
  </w:endnote>
  <w:endnote w:type="continuationSeparator" w:id="0">
    <w:p w14:paraId="5E6C5D45" w14:textId="77777777" w:rsidR="00E80C32" w:rsidRDefault="00E80C32" w:rsidP="00A54B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43BC9E" w14:textId="77777777" w:rsidR="00E80C32" w:rsidRDefault="00E80C32" w:rsidP="00A54BE0">
      <w:pPr>
        <w:spacing w:after="0" w:line="240" w:lineRule="auto"/>
      </w:pPr>
      <w:r>
        <w:separator/>
      </w:r>
    </w:p>
  </w:footnote>
  <w:footnote w:type="continuationSeparator" w:id="0">
    <w:p w14:paraId="78196F83" w14:textId="77777777" w:rsidR="00E80C32" w:rsidRDefault="00E80C32" w:rsidP="00A54B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6E04"/>
    <w:rsid w:val="0001161E"/>
    <w:rsid w:val="001941A7"/>
    <w:rsid w:val="002950FD"/>
    <w:rsid w:val="002F66D2"/>
    <w:rsid w:val="004F7113"/>
    <w:rsid w:val="00636E04"/>
    <w:rsid w:val="00770BE7"/>
    <w:rsid w:val="00897C65"/>
    <w:rsid w:val="00A474B7"/>
    <w:rsid w:val="00A54BE0"/>
    <w:rsid w:val="00B31FB4"/>
    <w:rsid w:val="00D66FAF"/>
    <w:rsid w:val="00D938F8"/>
    <w:rsid w:val="00E23EB5"/>
    <w:rsid w:val="00E80C32"/>
    <w:rsid w:val="00FC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B13D32"/>
  <w15:chartTrackingRefBased/>
  <w15:docId w15:val="{CF5CCD7E-DB19-44D9-A642-CBC78E12D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1161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41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941A7"/>
  </w:style>
  <w:style w:type="paragraph" w:styleId="Fuzeile">
    <w:name w:val="footer"/>
    <w:basedOn w:val="Standard"/>
    <w:link w:val="FuzeileZchn"/>
    <w:uiPriority w:val="99"/>
    <w:unhideWhenUsed/>
    <w:rsid w:val="001941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941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3</cp:revision>
  <dcterms:created xsi:type="dcterms:W3CDTF">2023-04-26T17:40:00Z</dcterms:created>
  <dcterms:modified xsi:type="dcterms:W3CDTF">2023-04-26T18:18:00Z</dcterms:modified>
</cp:coreProperties>
</file>