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F06238" w14:textId="77777777" w:rsidR="00C867FF" w:rsidRPr="005C6829" w:rsidRDefault="00C867FF" w:rsidP="00C867FF">
      <w:pPr>
        <w:pStyle w:val="berschrift1"/>
        <w:rPr>
          <w:rStyle w:val="text-nowrap"/>
          <w:rFonts w:asciiTheme="minorHAnsi" w:hAnsiTheme="minorHAnsi" w:cstheme="minorHAnsi"/>
          <w:sz w:val="32"/>
          <w:szCs w:val="32"/>
        </w:rPr>
      </w:pPr>
      <w:bookmarkStart w:id="0" w:name="_Toc93941799"/>
      <w:r w:rsidRPr="005C6829">
        <w:rPr>
          <w:rFonts w:asciiTheme="minorHAnsi" w:hAnsiTheme="minorHAnsi" w:cstheme="minorHAnsi"/>
          <w:sz w:val="32"/>
          <w:szCs w:val="32"/>
        </w:rPr>
        <w:t xml:space="preserve">Die neue Bedarfsplanung: Dispositionsbereiche unter </w:t>
      </w:r>
      <w:r w:rsidRPr="005C6829">
        <w:rPr>
          <w:rStyle w:val="text-nowrap"/>
          <w:rFonts w:asciiTheme="minorHAnsi" w:hAnsiTheme="minorHAnsi" w:cstheme="minorHAnsi"/>
          <w:sz w:val="32"/>
          <w:szCs w:val="32"/>
        </w:rPr>
        <w:t>SAP S/4HANA</w:t>
      </w:r>
      <w:bookmarkEnd w:id="0"/>
    </w:p>
    <w:p w14:paraId="10F4CD3F" w14:textId="77777777" w:rsidR="00C867FF" w:rsidRPr="00435F93" w:rsidRDefault="00C867FF" w:rsidP="00C867FF">
      <w:pPr>
        <w:spacing w:before="100" w:beforeAutospacing="1" w:after="100" w:afterAutospacing="1" w:line="240" w:lineRule="auto"/>
        <w:rPr>
          <w:rFonts w:eastAsia="Times New Roman" w:cstheme="minorHAnsi"/>
          <w:sz w:val="24"/>
          <w:szCs w:val="24"/>
          <w:lang w:bidi="he-IL"/>
        </w:rPr>
      </w:pPr>
      <w:r w:rsidRPr="00435F93">
        <w:rPr>
          <w:rFonts w:eastAsia="Times New Roman" w:cstheme="minorHAnsi"/>
          <w:sz w:val="24"/>
          <w:szCs w:val="24"/>
          <w:lang w:bidi="he-IL"/>
        </w:rPr>
        <w:t xml:space="preserve">Bisher wurde die Bedarfsplanung im SAP ERP auf Werksebene durchgeführt. Dabei war es möglich, bestimmte Lagerorte aus dem SAP MRP (Materials Requirements Planning) -Lauf auszuschließen oder auch getrennt zu planen. Unter </w:t>
      </w:r>
      <w:hyperlink r:id="rId7" w:history="1">
        <w:r w:rsidRPr="00435F93">
          <w:rPr>
            <w:rFonts w:eastAsia="Times New Roman" w:cstheme="minorHAnsi"/>
            <w:color w:val="0000FF"/>
            <w:sz w:val="24"/>
            <w:szCs w:val="24"/>
            <w:u w:val="single"/>
            <w:lang w:bidi="he-IL"/>
          </w:rPr>
          <w:t>SAP S/4HANA</w:t>
        </w:r>
      </w:hyperlink>
      <w:r w:rsidRPr="00435F93">
        <w:rPr>
          <w:rFonts w:eastAsia="Times New Roman" w:cstheme="minorHAnsi"/>
          <w:sz w:val="24"/>
          <w:szCs w:val="24"/>
          <w:lang w:bidi="he-IL"/>
        </w:rPr>
        <w:t xml:space="preserve"> fällt diese Funktionalität weg. Grund dafür ist die vereinfachte und effizienter gestaltete </w:t>
      </w:r>
      <w:hyperlink r:id="rId8" w:history="1">
        <w:r w:rsidRPr="00435F93">
          <w:rPr>
            <w:rFonts w:eastAsia="Times New Roman" w:cstheme="minorHAnsi"/>
            <w:color w:val="0000FF"/>
            <w:sz w:val="24"/>
            <w:szCs w:val="24"/>
            <w:u w:val="single"/>
            <w:lang w:bidi="he-IL"/>
          </w:rPr>
          <w:t>SAP MRP</w:t>
        </w:r>
      </w:hyperlink>
      <w:r w:rsidRPr="00435F93">
        <w:rPr>
          <w:rFonts w:eastAsia="Times New Roman" w:cstheme="minorHAnsi"/>
          <w:sz w:val="24"/>
          <w:szCs w:val="24"/>
          <w:lang w:bidi="he-IL"/>
        </w:rPr>
        <w:t>-Logik.</w:t>
      </w:r>
    </w:p>
    <w:p w14:paraId="1A72A7A1" w14:textId="77777777" w:rsidR="00C867FF" w:rsidRPr="00435F93" w:rsidRDefault="00C867FF" w:rsidP="00C867FF">
      <w:pPr>
        <w:spacing w:before="100" w:beforeAutospacing="1" w:after="100" w:afterAutospacing="1" w:line="240" w:lineRule="auto"/>
        <w:rPr>
          <w:rFonts w:eastAsia="Times New Roman" w:cstheme="minorHAnsi"/>
          <w:sz w:val="24"/>
          <w:szCs w:val="24"/>
          <w:lang w:bidi="he-IL"/>
        </w:rPr>
      </w:pPr>
      <w:r w:rsidRPr="00435F93">
        <w:rPr>
          <w:rFonts w:eastAsia="Times New Roman" w:cstheme="minorHAnsi"/>
          <w:sz w:val="24"/>
          <w:szCs w:val="24"/>
          <w:lang w:bidi="he-IL"/>
        </w:rPr>
        <w:t>Für eine eigenständige Bedarfsplanung müssen nun Dispositionsbereiche genutzt werden, die eine selbstständige Organisationseinheit darstellen. Hier lassen sich alle bekannten Dispositionsmerkmale und Losgrößenverfahren verwenden. Dadurch kann die Bereitstellung und Beschaffung von externen oder eigengefertigten Materialien je Dispositionsbereich gezielt gesteuert werden.</w:t>
      </w:r>
    </w:p>
    <w:p w14:paraId="3B9598BD" w14:textId="77777777" w:rsidR="00C867FF" w:rsidRPr="00435F93" w:rsidRDefault="00C867FF" w:rsidP="00C867FF">
      <w:pPr>
        <w:spacing w:before="100" w:beforeAutospacing="1" w:after="100" w:afterAutospacing="1" w:line="240" w:lineRule="auto"/>
        <w:rPr>
          <w:rFonts w:eastAsia="Times New Roman" w:cstheme="minorHAnsi"/>
          <w:sz w:val="24"/>
          <w:szCs w:val="24"/>
          <w:lang w:bidi="he-IL"/>
        </w:rPr>
      </w:pPr>
      <w:r w:rsidRPr="00435F93">
        <w:rPr>
          <w:rFonts w:eastAsia="Times New Roman" w:cstheme="minorHAnsi"/>
          <w:sz w:val="24"/>
          <w:szCs w:val="24"/>
          <w:lang w:bidi="he-IL"/>
        </w:rPr>
        <w:t>Dabei steht der Dispositionsbereich für einen Fertigungs- und/oder Montagebereich oder auch einen Lohnbearbeiter.</w:t>
      </w:r>
    </w:p>
    <w:p w14:paraId="75116EE9" w14:textId="77777777" w:rsidR="00C867FF" w:rsidRPr="00435F93" w:rsidRDefault="00C867FF" w:rsidP="00C867FF">
      <w:pPr>
        <w:spacing w:before="100" w:beforeAutospacing="1" w:after="100" w:afterAutospacing="1" w:line="240" w:lineRule="auto"/>
        <w:rPr>
          <w:rFonts w:eastAsia="Times New Roman" w:cstheme="minorHAnsi"/>
          <w:sz w:val="24"/>
          <w:szCs w:val="24"/>
          <w:lang w:bidi="he-IL"/>
        </w:rPr>
      </w:pPr>
      <w:r w:rsidRPr="00435F93">
        <w:rPr>
          <w:rFonts w:eastAsia="Times New Roman" w:cstheme="minorHAnsi"/>
          <w:sz w:val="24"/>
          <w:szCs w:val="24"/>
          <w:lang w:bidi="he-IL"/>
        </w:rPr>
        <w:t>Grundsätzlich unterscheidet man drei Typen von Dispositionsbereichen, die zu Beginn der Einführung definiert und im Customizing eingestellt werden müssen:</w:t>
      </w:r>
    </w:p>
    <w:p w14:paraId="38D8E232" w14:textId="77777777" w:rsidR="00C867FF" w:rsidRPr="00435F93" w:rsidRDefault="00C867FF" w:rsidP="00C867FF">
      <w:pPr>
        <w:spacing w:before="100" w:beforeAutospacing="1" w:after="100" w:afterAutospacing="1" w:line="240" w:lineRule="auto"/>
        <w:rPr>
          <w:rFonts w:eastAsia="Times New Roman" w:cstheme="minorHAnsi"/>
          <w:sz w:val="24"/>
          <w:szCs w:val="24"/>
          <w:lang w:bidi="he-IL"/>
        </w:rPr>
      </w:pPr>
      <w:r w:rsidRPr="005C6829">
        <w:rPr>
          <w:rFonts w:eastAsia="Times New Roman" w:cstheme="minorHAnsi"/>
          <w:noProof/>
          <w:color w:val="0000FF"/>
          <w:sz w:val="24"/>
          <w:szCs w:val="24"/>
          <w:lang w:bidi="he-IL"/>
        </w:rPr>
        <w:drawing>
          <wp:inline distT="0" distB="0" distL="0" distR="0" wp14:anchorId="10558D6E" wp14:editId="3D1F6E6E">
            <wp:extent cx="5486400" cy="2933700"/>
            <wp:effectExtent l="19050" t="19050" r="19050" b="19050"/>
            <wp:docPr id="31" name="Grafik 31">
              <a:hlinkClick xmlns:a="http://schemas.openxmlformats.org/drawingml/2006/main" r:id="rId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a:hlinkClick r:id="rId9" tgtFrame="&quot;_blank&quo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86400" cy="2933700"/>
                    </a:xfrm>
                    <a:prstGeom prst="rect">
                      <a:avLst/>
                    </a:prstGeom>
                    <a:noFill/>
                    <a:ln>
                      <a:solidFill>
                        <a:schemeClr val="accent2"/>
                      </a:solidFill>
                    </a:ln>
                  </pic:spPr>
                </pic:pic>
              </a:graphicData>
            </a:graphic>
          </wp:inline>
        </w:drawing>
      </w:r>
    </w:p>
    <w:p w14:paraId="736A7440" w14:textId="77777777" w:rsidR="00C867FF" w:rsidRPr="00435F93" w:rsidRDefault="00C867FF" w:rsidP="00C867FF">
      <w:pPr>
        <w:spacing w:before="100" w:beforeAutospacing="1" w:after="100" w:afterAutospacing="1" w:line="240" w:lineRule="auto"/>
        <w:outlineLvl w:val="1"/>
        <w:rPr>
          <w:rFonts w:eastAsia="Times New Roman" w:cstheme="minorHAnsi"/>
          <w:b/>
          <w:bCs/>
          <w:sz w:val="36"/>
          <w:szCs w:val="36"/>
          <w:lang w:bidi="he-IL"/>
        </w:rPr>
      </w:pPr>
      <w:bookmarkStart w:id="1" w:name="_Toc93941800"/>
      <w:r w:rsidRPr="00435F93">
        <w:rPr>
          <w:rFonts w:eastAsia="Times New Roman" w:cstheme="minorHAnsi"/>
          <w:b/>
          <w:bCs/>
          <w:sz w:val="36"/>
          <w:szCs w:val="36"/>
          <w:lang w:bidi="he-IL"/>
        </w:rPr>
        <w:t>Werks-Dispositionsbereich</w:t>
      </w:r>
      <w:bookmarkEnd w:id="1"/>
    </w:p>
    <w:p w14:paraId="55FA9E28" w14:textId="77777777" w:rsidR="00C867FF" w:rsidRPr="00435F93" w:rsidRDefault="00C867FF" w:rsidP="00C867FF">
      <w:pPr>
        <w:spacing w:before="100" w:beforeAutospacing="1" w:after="100" w:afterAutospacing="1" w:line="240" w:lineRule="auto"/>
        <w:rPr>
          <w:rFonts w:eastAsia="Times New Roman" w:cstheme="minorHAnsi"/>
          <w:sz w:val="24"/>
          <w:szCs w:val="24"/>
          <w:lang w:bidi="he-IL"/>
        </w:rPr>
      </w:pPr>
      <w:r w:rsidRPr="00435F93">
        <w:rPr>
          <w:rFonts w:eastAsia="Times New Roman" w:cstheme="minorHAnsi"/>
          <w:sz w:val="24"/>
          <w:szCs w:val="24"/>
          <w:lang w:bidi="he-IL"/>
        </w:rPr>
        <w:t xml:space="preserve">Für die Umstellung von SAP ERP auf </w:t>
      </w:r>
      <w:hyperlink r:id="rId11" w:history="1">
        <w:r w:rsidRPr="00435F93">
          <w:rPr>
            <w:rFonts w:eastAsia="Times New Roman" w:cstheme="minorHAnsi"/>
            <w:color w:val="0000FF"/>
            <w:sz w:val="24"/>
            <w:szCs w:val="24"/>
            <w:u w:val="single"/>
            <w:lang w:bidi="he-IL"/>
          </w:rPr>
          <w:t>SAP S/4HANA</w:t>
        </w:r>
      </w:hyperlink>
      <w:r w:rsidRPr="00435F93">
        <w:rPr>
          <w:rFonts w:eastAsia="Times New Roman" w:cstheme="minorHAnsi"/>
          <w:sz w:val="24"/>
          <w:szCs w:val="24"/>
          <w:lang w:bidi="he-IL"/>
        </w:rPr>
        <w:t xml:space="preserve"> reicht es aus, einen Dispositionsbereich auf Werksebene zu haben. Dieser umfasst das Werk mit allen Lagerort- und Lohnbearbeiterbeständen.</w:t>
      </w:r>
    </w:p>
    <w:p w14:paraId="0A923562" w14:textId="77777777" w:rsidR="00C867FF" w:rsidRPr="00435F93" w:rsidRDefault="00C867FF" w:rsidP="00C867FF">
      <w:pPr>
        <w:spacing w:before="100" w:beforeAutospacing="1" w:after="100" w:afterAutospacing="1" w:line="240" w:lineRule="auto"/>
        <w:outlineLvl w:val="1"/>
        <w:rPr>
          <w:rFonts w:eastAsia="Times New Roman" w:cstheme="minorHAnsi"/>
          <w:b/>
          <w:bCs/>
          <w:sz w:val="36"/>
          <w:szCs w:val="36"/>
          <w:lang w:bidi="he-IL"/>
        </w:rPr>
      </w:pPr>
      <w:bookmarkStart w:id="2" w:name="_Toc93941801"/>
      <w:r w:rsidRPr="00435F93">
        <w:rPr>
          <w:rFonts w:eastAsia="Times New Roman" w:cstheme="minorHAnsi"/>
          <w:b/>
          <w:bCs/>
          <w:sz w:val="36"/>
          <w:szCs w:val="36"/>
          <w:lang w:bidi="he-IL"/>
        </w:rPr>
        <w:t>Dispositionsbereich für Lagerorte</w:t>
      </w:r>
      <w:bookmarkEnd w:id="2"/>
    </w:p>
    <w:p w14:paraId="2616A3B4" w14:textId="77777777" w:rsidR="00C867FF" w:rsidRPr="00435F93" w:rsidRDefault="00C867FF" w:rsidP="00C867FF">
      <w:pPr>
        <w:spacing w:before="100" w:beforeAutospacing="1" w:after="100" w:afterAutospacing="1" w:line="240" w:lineRule="auto"/>
        <w:rPr>
          <w:rFonts w:eastAsia="Times New Roman" w:cstheme="minorHAnsi"/>
          <w:sz w:val="24"/>
          <w:szCs w:val="24"/>
          <w:lang w:bidi="he-IL"/>
        </w:rPr>
      </w:pPr>
      <w:r w:rsidRPr="00435F93">
        <w:rPr>
          <w:rFonts w:eastAsia="Times New Roman" w:cstheme="minorHAnsi"/>
          <w:sz w:val="24"/>
          <w:szCs w:val="24"/>
          <w:lang w:bidi="he-IL"/>
        </w:rPr>
        <w:t xml:space="preserve">Mit Hilfe der Dispositionsbereiche können Lagerorte separat disponiert oder aus der Dispositionsplanung ausgeschlossen werden. Dabei lassen sich auch mehrere - nur einem </w:t>
      </w:r>
      <w:r w:rsidRPr="00435F93">
        <w:rPr>
          <w:rFonts w:eastAsia="Times New Roman" w:cstheme="minorHAnsi"/>
          <w:sz w:val="24"/>
          <w:szCs w:val="24"/>
          <w:lang w:bidi="he-IL"/>
        </w:rPr>
        <w:lastRenderedPageBreak/>
        <w:t>Dispositionsbereich zugeordnete - Lagerorte zusammenfassen. Wichtig ist die Angabe eines Zugangslagerortes, der dem Dispositionsbereich zugeordnet ist.</w:t>
      </w:r>
    </w:p>
    <w:p w14:paraId="4D930595" w14:textId="77777777" w:rsidR="00C867FF" w:rsidRPr="00435F93" w:rsidRDefault="00C867FF" w:rsidP="00C867FF">
      <w:pPr>
        <w:spacing w:before="100" w:beforeAutospacing="1" w:after="100" w:afterAutospacing="1" w:line="240" w:lineRule="auto"/>
        <w:rPr>
          <w:rFonts w:eastAsia="Times New Roman" w:cstheme="minorHAnsi"/>
          <w:b/>
          <w:bCs/>
          <w:i/>
          <w:iCs/>
          <w:sz w:val="24"/>
          <w:szCs w:val="24"/>
          <w:lang w:bidi="he-IL"/>
        </w:rPr>
      </w:pPr>
      <w:r w:rsidRPr="00435F93">
        <w:rPr>
          <w:rFonts w:eastAsia="Times New Roman" w:cstheme="minorHAnsi"/>
          <w:b/>
          <w:bCs/>
          <w:i/>
          <w:iCs/>
          <w:sz w:val="24"/>
          <w:szCs w:val="24"/>
          <w:lang w:bidi="he-IL"/>
        </w:rPr>
        <w:t>Im Materialstammsatz wird ein Dispositionsbereichssegment angelegt. Sollte dies nicht explizit geschehen, findet die Bedarfsplanung für das Material weiterhin im Werksdispositionsbereich statt.</w:t>
      </w:r>
    </w:p>
    <w:p w14:paraId="1C4A1320" w14:textId="77777777" w:rsidR="00C867FF" w:rsidRPr="00435F93" w:rsidRDefault="00C867FF" w:rsidP="00C867FF">
      <w:pPr>
        <w:spacing w:before="100" w:beforeAutospacing="1" w:after="100" w:afterAutospacing="1" w:line="240" w:lineRule="auto"/>
        <w:rPr>
          <w:rFonts w:eastAsia="Times New Roman" w:cstheme="minorHAnsi"/>
          <w:sz w:val="24"/>
          <w:szCs w:val="24"/>
          <w:lang w:bidi="he-IL"/>
        </w:rPr>
      </w:pPr>
      <w:r w:rsidRPr="00435F93">
        <w:rPr>
          <w:rFonts w:eastAsia="Times New Roman" w:cstheme="minorHAnsi"/>
          <w:sz w:val="24"/>
          <w:szCs w:val="24"/>
          <w:lang w:bidi="he-IL"/>
        </w:rPr>
        <w:t xml:space="preserve">Möchte man beispielsweise alle Komponenten einer Fertigungslinie disponieren, legt man dazu einen Dispositionsbereich vom Typ </w:t>
      </w:r>
      <w:r w:rsidRPr="00435F93">
        <w:rPr>
          <w:rFonts w:eastAsia="Times New Roman" w:cstheme="minorHAnsi"/>
          <w:i/>
          <w:iCs/>
          <w:sz w:val="24"/>
          <w:szCs w:val="24"/>
          <w:lang w:bidi="he-IL"/>
        </w:rPr>
        <w:t>Lagerort</w:t>
      </w:r>
      <w:r w:rsidRPr="00435F93">
        <w:rPr>
          <w:rFonts w:eastAsia="Times New Roman" w:cstheme="minorHAnsi"/>
          <w:sz w:val="24"/>
          <w:szCs w:val="24"/>
          <w:lang w:bidi="he-IL"/>
        </w:rPr>
        <w:t xml:space="preserve"> an. Es folgt eine Zuordnung der Lagerorte, von denen die Komponenten entnommen werden.</w:t>
      </w:r>
    </w:p>
    <w:p w14:paraId="60CC7EFA" w14:textId="77777777" w:rsidR="00C867FF" w:rsidRPr="00435F93" w:rsidRDefault="00C867FF" w:rsidP="00C867FF">
      <w:pPr>
        <w:spacing w:before="100" w:beforeAutospacing="1" w:after="100" w:afterAutospacing="1" w:line="240" w:lineRule="auto"/>
        <w:outlineLvl w:val="1"/>
        <w:rPr>
          <w:rFonts w:eastAsia="Times New Roman" w:cstheme="minorHAnsi"/>
          <w:b/>
          <w:bCs/>
          <w:sz w:val="36"/>
          <w:szCs w:val="36"/>
          <w:lang w:bidi="he-IL"/>
        </w:rPr>
      </w:pPr>
      <w:bookmarkStart w:id="3" w:name="_Toc93941802"/>
      <w:r w:rsidRPr="00435F93">
        <w:rPr>
          <w:rFonts w:eastAsia="Times New Roman" w:cstheme="minorHAnsi"/>
          <w:b/>
          <w:bCs/>
          <w:sz w:val="36"/>
          <w:szCs w:val="36"/>
          <w:lang w:bidi="he-IL"/>
        </w:rPr>
        <w:t>Dispositionsbereich für Lohnbearbeiter</w:t>
      </w:r>
      <w:bookmarkEnd w:id="3"/>
    </w:p>
    <w:p w14:paraId="20301A2F" w14:textId="77777777" w:rsidR="00C867FF" w:rsidRPr="00435F93" w:rsidRDefault="00C867FF" w:rsidP="00C867FF">
      <w:pPr>
        <w:spacing w:before="100" w:beforeAutospacing="1" w:after="100" w:afterAutospacing="1" w:line="240" w:lineRule="auto"/>
        <w:rPr>
          <w:rFonts w:eastAsia="Times New Roman" w:cstheme="minorHAnsi"/>
          <w:sz w:val="24"/>
          <w:szCs w:val="24"/>
          <w:lang w:bidi="he-IL"/>
        </w:rPr>
      </w:pPr>
      <w:r w:rsidRPr="00435F93">
        <w:rPr>
          <w:rFonts w:eastAsia="Times New Roman" w:cstheme="minorHAnsi"/>
          <w:sz w:val="24"/>
          <w:szCs w:val="24"/>
          <w:lang w:bidi="he-IL"/>
        </w:rPr>
        <w:t>Die Bedarfsplanung der Beistellteile wird über Dispositionsbereiche abgebildet. Dafür muss je Lohnbearbeiter ein eigener Dispositionsbereich angelegt werden.</w:t>
      </w:r>
    </w:p>
    <w:p w14:paraId="70693CFC" w14:textId="64BC0999" w:rsidR="00C867FF" w:rsidRDefault="00C867FF" w:rsidP="00C867FF">
      <w:pPr>
        <w:spacing w:before="100" w:beforeAutospacing="1" w:after="100" w:afterAutospacing="1" w:line="240" w:lineRule="auto"/>
        <w:rPr>
          <w:rFonts w:eastAsia="Times New Roman" w:cstheme="minorHAnsi"/>
          <w:sz w:val="24"/>
          <w:szCs w:val="24"/>
          <w:lang w:bidi="he-IL"/>
        </w:rPr>
      </w:pPr>
      <w:r w:rsidRPr="00435F93">
        <w:rPr>
          <w:rFonts w:eastAsia="Times New Roman" w:cstheme="minorHAnsi"/>
          <w:sz w:val="24"/>
          <w:szCs w:val="24"/>
          <w:lang w:bidi="he-IL"/>
        </w:rPr>
        <w:t>Hierzu wird das Material nicht dem Dispositionsbereich zugeordnet, da sich der Werksdispositionsbereich um die Anzahl der Lohnbe</w:t>
      </w:r>
      <w:r>
        <w:rPr>
          <w:rFonts w:eastAsia="Times New Roman" w:cstheme="minorHAnsi"/>
          <w:sz w:val="24"/>
          <w:szCs w:val="24"/>
          <w:lang w:bidi="he-IL"/>
        </w:rPr>
        <w:t>ar</w:t>
      </w:r>
      <w:r w:rsidRPr="00435F93">
        <w:rPr>
          <w:rFonts w:eastAsia="Times New Roman" w:cstheme="minorHAnsi"/>
          <w:sz w:val="24"/>
          <w:szCs w:val="24"/>
          <w:lang w:bidi="he-IL"/>
        </w:rPr>
        <w:t>beiter-Dispositionsbereiche reduziert und diese nun separat disponiert werden.</w:t>
      </w:r>
    </w:p>
    <w:p w14:paraId="63BEF730" w14:textId="77777777" w:rsidR="00356070" w:rsidRPr="009D63B5" w:rsidRDefault="00356070" w:rsidP="00356070">
      <w:pPr>
        <w:spacing w:before="100" w:beforeAutospacing="1" w:after="100" w:afterAutospacing="1" w:line="240" w:lineRule="auto"/>
        <w:outlineLvl w:val="1"/>
        <w:rPr>
          <w:rFonts w:eastAsia="Times New Roman" w:cstheme="minorHAnsi"/>
          <w:b/>
          <w:bCs/>
          <w:sz w:val="36"/>
          <w:szCs w:val="36"/>
          <w:lang w:bidi="he-IL"/>
        </w:rPr>
      </w:pPr>
      <w:bookmarkStart w:id="4" w:name="_Toc93941786"/>
      <w:r w:rsidRPr="009D63B5">
        <w:rPr>
          <w:rFonts w:eastAsia="Times New Roman" w:cstheme="minorHAnsi"/>
          <w:b/>
          <w:bCs/>
          <w:sz w:val="36"/>
          <w:szCs w:val="36"/>
          <w:lang w:bidi="he-IL"/>
        </w:rPr>
        <w:t>Planung mit Dispobereichen im Planungslauf – das gilt es zu beachten:</w:t>
      </w:r>
      <w:bookmarkEnd w:id="4"/>
    </w:p>
    <w:p w14:paraId="301DD5CA" w14:textId="77777777" w:rsidR="00356070" w:rsidRPr="009D63B5" w:rsidRDefault="00356070" w:rsidP="00356070">
      <w:pPr>
        <w:spacing w:before="100" w:beforeAutospacing="1" w:after="100" w:afterAutospacing="1" w:line="240" w:lineRule="auto"/>
        <w:rPr>
          <w:rFonts w:eastAsia="Times New Roman" w:cstheme="minorHAnsi"/>
          <w:sz w:val="24"/>
          <w:szCs w:val="24"/>
          <w:lang w:bidi="he-IL"/>
        </w:rPr>
      </w:pPr>
      <w:r w:rsidRPr="009D63B5">
        <w:rPr>
          <w:rFonts w:eastAsia="Times New Roman" w:cstheme="minorHAnsi"/>
          <w:sz w:val="24"/>
          <w:szCs w:val="24"/>
          <w:lang w:bidi="he-IL"/>
        </w:rPr>
        <w:t>Beim Gesamtplanungslauf wird immer das gesamte Werk geplant, d.h. die Gesamtheit aller Dispobereiche im Werk, sofern kein gesonderter Planungsumfang angegeben wird. Wenn Sie einen Gesamtplanungslauf nur für einen bestimmten Dispobereich durchführen wollen, müssen Sie den gewünschten Dispobereich im Planungsumfang spezifizieren.</w:t>
      </w:r>
    </w:p>
    <w:p w14:paraId="039F68B3" w14:textId="77777777" w:rsidR="00356070" w:rsidRPr="009D63B5" w:rsidRDefault="00356070" w:rsidP="00356070">
      <w:pPr>
        <w:spacing w:before="100" w:beforeAutospacing="1" w:after="100" w:afterAutospacing="1" w:line="240" w:lineRule="auto"/>
        <w:rPr>
          <w:rFonts w:eastAsia="Times New Roman" w:cstheme="minorHAnsi"/>
          <w:sz w:val="24"/>
          <w:szCs w:val="24"/>
          <w:lang w:bidi="he-IL"/>
        </w:rPr>
      </w:pPr>
      <w:r w:rsidRPr="009D63B5">
        <w:rPr>
          <w:rFonts w:eastAsia="Times New Roman" w:cstheme="minorHAnsi"/>
          <w:sz w:val="24"/>
          <w:szCs w:val="24"/>
          <w:lang w:bidi="he-IL"/>
        </w:rPr>
        <w:t>Bei der mehrstufigen Einzelplanung wird das gewählte Material im angegebenen Dispobereich geplant. Allerdings werden Planungsvormerkungen aus anderen Dispobereichen berücksichtigt, z.B. wenn das Material durch Umlagerung beschafft werden soll.</w:t>
      </w:r>
    </w:p>
    <w:p w14:paraId="1CC92B85" w14:textId="2C8534E5" w:rsidR="00356070" w:rsidRDefault="00356070" w:rsidP="00C867FF">
      <w:pPr>
        <w:spacing w:before="100" w:beforeAutospacing="1" w:after="100" w:afterAutospacing="1" w:line="240" w:lineRule="auto"/>
        <w:rPr>
          <w:rFonts w:eastAsia="Times New Roman" w:cstheme="minorHAnsi"/>
          <w:sz w:val="24"/>
          <w:szCs w:val="24"/>
          <w:lang w:bidi="he-IL"/>
        </w:rPr>
      </w:pPr>
      <w:r>
        <w:rPr>
          <w:rFonts w:eastAsia="Times New Roman" w:cstheme="minorHAnsi"/>
          <w:sz w:val="24"/>
          <w:szCs w:val="24"/>
          <w:lang w:bidi="he-IL"/>
        </w:rPr>
        <w:t>. . .</w:t>
      </w:r>
    </w:p>
    <w:p w14:paraId="0294B24D" w14:textId="77777777" w:rsidR="00356070" w:rsidRPr="00435F93" w:rsidRDefault="00356070" w:rsidP="00C867FF">
      <w:pPr>
        <w:spacing w:before="100" w:beforeAutospacing="1" w:after="100" w:afterAutospacing="1" w:line="240" w:lineRule="auto"/>
        <w:rPr>
          <w:rFonts w:eastAsia="Times New Roman" w:cstheme="minorHAnsi"/>
          <w:sz w:val="24"/>
          <w:szCs w:val="24"/>
          <w:lang w:bidi="he-IL"/>
        </w:rPr>
      </w:pPr>
    </w:p>
    <w:p w14:paraId="5180D9C7" w14:textId="77777777" w:rsidR="00D938F8" w:rsidRDefault="00D938F8"/>
    <w:sectPr w:rsidR="00D938F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0A379D" w14:textId="77777777" w:rsidR="008801CB" w:rsidRDefault="008801CB" w:rsidP="008801CB">
      <w:pPr>
        <w:spacing w:after="0" w:line="240" w:lineRule="auto"/>
      </w:pPr>
      <w:r>
        <w:separator/>
      </w:r>
    </w:p>
  </w:endnote>
  <w:endnote w:type="continuationSeparator" w:id="0">
    <w:p w14:paraId="23B4ED19" w14:textId="77777777" w:rsidR="008801CB" w:rsidRDefault="008801CB" w:rsidP="008801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EB2919" w14:textId="77777777" w:rsidR="008801CB" w:rsidRDefault="008801CB" w:rsidP="008801CB">
      <w:pPr>
        <w:spacing w:after="0" w:line="240" w:lineRule="auto"/>
      </w:pPr>
      <w:r>
        <w:separator/>
      </w:r>
    </w:p>
  </w:footnote>
  <w:footnote w:type="continuationSeparator" w:id="0">
    <w:p w14:paraId="12981936" w14:textId="77777777" w:rsidR="008801CB" w:rsidRDefault="008801CB" w:rsidP="008801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7F579DD"/>
    <w:multiLevelType w:val="hybridMultilevel"/>
    <w:tmpl w:val="9688664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67FF"/>
    <w:rsid w:val="00356070"/>
    <w:rsid w:val="008801CB"/>
    <w:rsid w:val="00C867FF"/>
    <w:rsid w:val="00D938F8"/>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0649AA"/>
  <w15:chartTrackingRefBased/>
  <w15:docId w15:val="{3323D9DF-87FF-445A-9A1F-38D6273F7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867FF"/>
  </w:style>
  <w:style w:type="paragraph" w:styleId="berschrift1">
    <w:name w:val="heading 1"/>
    <w:basedOn w:val="Standard"/>
    <w:link w:val="berschrift1Zchn"/>
    <w:uiPriority w:val="9"/>
    <w:qFormat/>
    <w:rsid w:val="00C867FF"/>
    <w:pPr>
      <w:spacing w:before="100" w:beforeAutospacing="1" w:after="100" w:afterAutospacing="1" w:line="240" w:lineRule="auto"/>
      <w:outlineLvl w:val="0"/>
    </w:pPr>
    <w:rPr>
      <w:rFonts w:ascii="Times New Roman" w:eastAsia="Times New Roman" w:hAnsi="Times New Roman" w:cs="Times New Roman"/>
      <w:b/>
      <w:bCs/>
      <w:kern w:val="36"/>
      <w:sz w:val="48"/>
      <w:szCs w:val="48"/>
      <w:lang w:bidi="he-I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C867FF"/>
    <w:rPr>
      <w:rFonts w:ascii="Times New Roman" w:eastAsia="Times New Roman" w:hAnsi="Times New Roman" w:cs="Times New Roman"/>
      <w:b/>
      <w:bCs/>
      <w:kern w:val="36"/>
      <w:sz w:val="48"/>
      <w:szCs w:val="48"/>
      <w:lang w:bidi="he-IL"/>
    </w:rPr>
  </w:style>
  <w:style w:type="character" w:customStyle="1" w:styleId="text-nowrap">
    <w:name w:val="text-nowrap"/>
    <w:basedOn w:val="Absatz-Standardschriftart"/>
    <w:rsid w:val="00C867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puterweekly.com/de/antwort/Wie-unterscheiden-sich-SAP-Materialbedarfsplanung-MRP-und-MRP-Bereich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pro-ips.com/sap-loesungen/intelligentes-erp-und-sap-s-4han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pro-ips.com/sap-loesungen/intelligentes-erp-und-sap-s-4hana/" TargetMode="External"/><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s://cpro-ips.com/wp-content/uploads/2020/11/SAP-Dispositionsbereiche.png"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464</Words>
  <Characters>2928</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ifm group</Company>
  <LinksUpToDate>false</LinksUpToDate>
  <CharactersWithSpaces>3386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Bröcher, Christine</dc:creator>
  <cp:keywords/>
  <dc:description/>
  <cp:lastModifiedBy>Bröcher, Christine</cp:lastModifiedBy>
  <cp:revision>1</cp:revision>
  <dcterms:created xsi:type="dcterms:W3CDTF">2022-01-24T17:59:00Z</dcterms:created>
  <dcterms:modified xsi:type="dcterms:W3CDTF">2022-01-24T21:53:00Z</dcterms:modified>
</cp:coreProperties>
</file>