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9639" w:type="dxa"/>
        <w:tblLook w:val="04A0" w:firstRow="1" w:lastRow="0" w:firstColumn="1" w:lastColumn="0" w:noHBand="0" w:noVBand="1"/>
      </w:tblPr>
      <w:tblGrid>
        <w:gridCol w:w="9639"/>
      </w:tblGrid>
      <w:tr w:rsidR="00BA2B0F" w:rsidRPr="000C4C4A" w:rsidTr="00D7432D">
        <w:trPr>
          <w:trHeight w:val="7230"/>
        </w:trPr>
        <w:tc>
          <w:tcPr>
            <w:tcW w:w="9639" w:type="dxa"/>
            <w:tcBorders>
              <w:top w:val="nil"/>
              <w:left w:val="nil"/>
              <w:bottom w:val="nil"/>
              <w:right w:val="nil"/>
            </w:tcBorders>
            <w:vAlign w:val="bottom"/>
          </w:tcPr>
          <w:p w:rsidR="00BA2B0F" w:rsidRPr="0015256C" w:rsidRDefault="008C0B65" w:rsidP="00BA2B0F">
            <w:pPr>
              <w:pStyle w:val="BPnormalerTextChar"/>
              <w:rPr>
                <w:rFonts w:ascii="Futura Std Book" w:hAnsi="Futura Std Book"/>
                <w:color w:val="808080" w:themeColor="background1" w:themeShade="80"/>
                <w:sz w:val="31"/>
                <w:szCs w:val="31"/>
              </w:rPr>
            </w:pPr>
            <w:bookmarkStart w:id="0" w:name="_Toc105991751"/>
            <w:r>
              <w:rPr>
                <w:rFonts w:ascii="Futura Std Book" w:hAnsi="Futura Std Book"/>
                <w:color w:val="808080" w:themeColor="background1" w:themeShade="80"/>
                <w:sz w:val="31"/>
                <w:szCs w:val="31"/>
              </w:rPr>
              <w:t>Konzept</w:t>
            </w:r>
          </w:p>
          <w:p w:rsidR="00E0665A" w:rsidRPr="00A369FE" w:rsidRDefault="003E2F04" w:rsidP="00E0665A">
            <w:pPr>
              <w:pStyle w:val="BPnormalerTextChar"/>
              <w:rPr>
                <w:rFonts w:ascii="Futura Std Book" w:hAnsi="Futura Std Book"/>
                <w:b/>
                <w:color w:val="002060"/>
                <w:sz w:val="40"/>
                <w:szCs w:val="40"/>
              </w:rPr>
            </w:pPr>
            <w:r>
              <w:rPr>
                <w:rFonts w:ascii="Futura Std Book" w:hAnsi="Futura Std Book" w:cs="Arial"/>
                <w:b/>
                <w:color w:val="002060"/>
                <w:sz w:val="70"/>
                <w:szCs w:val="70"/>
              </w:rPr>
              <w:t>Daten</w:t>
            </w:r>
            <w:r w:rsidR="008C0B65">
              <w:rPr>
                <w:rFonts w:ascii="Futura Std Book" w:hAnsi="Futura Std Book" w:cs="Arial"/>
                <w:b/>
                <w:color w:val="002060"/>
                <w:sz w:val="70"/>
                <w:szCs w:val="70"/>
              </w:rPr>
              <w:t>fortschreibung</w:t>
            </w:r>
          </w:p>
          <w:p w:rsidR="000C4C4A" w:rsidRPr="00BA2B0F" w:rsidRDefault="00E0665A" w:rsidP="00E0665A">
            <w:pPr>
              <w:pStyle w:val="Titel"/>
              <w:rPr>
                <w:rFonts w:ascii="Futura Std Book" w:hAnsi="Futura Std Book"/>
                <w:color w:val="002060"/>
                <w:sz w:val="36"/>
                <w:szCs w:val="36"/>
                <w:lang w:val="it-IT"/>
              </w:rPr>
            </w:pPr>
            <w:r w:rsidRPr="00A369FE">
              <w:rPr>
                <w:rFonts w:ascii="Futura Std Book" w:hAnsi="Futura Std Book"/>
                <w:color w:val="002060"/>
                <w:sz w:val="36"/>
                <w:szCs w:val="36"/>
              </w:rPr>
              <w:t xml:space="preserve">GIB Dispo-Cockpit </w:t>
            </w:r>
            <w:proofErr w:type="spellStart"/>
            <w:r w:rsidRPr="00A369FE">
              <w:rPr>
                <w:rFonts w:ascii="Futura Std Book" w:hAnsi="Futura Std Book"/>
                <w:color w:val="002060"/>
                <w:sz w:val="36"/>
                <w:szCs w:val="36"/>
              </w:rPr>
              <w:t>Planning</w:t>
            </w:r>
            <w:proofErr w:type="spellEnd"/>
          </w:p>
        </w:tc>
      </w:tr>
      <w:tr w:rsidR="00BA2B0F" w:rsidRPr="005A2518" w:rsidTr="00724BD7">
        <w:trPr>
          <w:trHeight w:val="6103"/>
        </w:trPr>
        <w:tc>
          <w:tcPr>
            <w:tcW w:w="9639" w:type="dxa"/>
            <w:tcBorders>
              <w:top w:val="nil"/>
              <w:left w:val="nil"/>
              <w:bottom w:val="nil"/>
              <w:right w:val="nil"/>
            </w:tcBorders>
            <w:vAlign w:val="center"/>
          </w:tcPr>
          <w:p w:rsidR="00BA2B0F" w:rsidRPr="005A2518" w:rsidRDefault="00BA2B0F" w:rsidP="00BA2B0F">
            <w:pPr>
              <w:pStyle w:val="Titel"/>
              <w:rPr>
                <w:rFonts w:ascii="Futura Std Book" w:hAnsi="Futura Std Book"/>
                <w:b w:val="0"/>
                <w:color w:val="002060"/>
                <w:sz w:val="32"/>
                <w:szCs w:val="32"/>
              </w:rPr>
            </w:pPr>
            <w:r w:rsidRPr="005A2518">
              <w:rPr>
                <w:rFonts w:ascii="Futura Std Book" w:hAnsi="Futura Std Book"/>
                <w:b w:val="0"/>
                <w:color w:val="002060"/>
                <w:sz w:val="32"/>
                <w:szCs w:val="32"/>
              </w:rPr>
              <w:t xml:space="preserve">Version </w:t>
            </w:r>
            <w:r w:rsidR="000C4C4A">
              <w:rPr>
                <w:rFonts w:ascii="Futura Std Book" w:hAnsi="Futura Std Book"/>
                <w:b w:val="0"/>
                <w:color w:val="002060"/>
                <w:sz w:val="32"/>
                <w:szCs w:val="32"/>
              </w:rPr>
              <w:t xml:space="preserve">1.0 </w:t>
            </w:r>
            <w:r w:rsidRPr="005A2518">
              <w:rPr>
                <w:rFonts w:ascii="Futura Std Book" w:hAnsi="Futura Std Book"/>
                <w:b w:val="0"/>
                <w:color w:val="002060"/>
                <w:sz w:val="32"/>
                <w:szCs w:val="32"/>
              </w:rPr>
              <w:t>Deutsch</w:t>
            </w:r>
          </w:p>
          <w:p w:rsidR="00BA2B0F" w:rsidRPr="005A2518" w:rsidRDefault="00801CDF" w:rsidP="008C0B65">
            <w:pPr>
              <w:pStyle w:val="BPnormalerTextChar"/>
              <w:rPr>
                <w:rFonts w:ascii="Futura Std Book" w:hAnsi="Futura Std Book"/>
                <w:color w:val="002060"/>
                <w:sz w:val="28"/>
                <w:szCs w:val="28"/>
              </w:rPr>
            </w:pPr>
            <w:r>
              <w:rPr>
                <w:rFonts w:ascii="Futura Std Book" w:hAnsi="Futura Std Book"/>
                <w:color w:val="002060"/>
                <w:sz w:val="28"/>
                <w:szCs w:val="28"/>
              </w:rPr>
              <w:t xml:space="preserve">Gültig ab </w:t>
            </w:r>
            <w:r w:rsidR="008C0B65">
              <w:rPr>
                <w:rFonts w:ascii="Futura Std Book" w:hAnsi="Futura Std Book"/>
                <w:color w:val="002060"/>
                <w:sz w:val="28"/>
                <w:szCs w:val="28"/>
              </w:rPr>
              <w:t>08</w:t>
            </w:r>
            <w:r w:rsidR="00BA2B0F" w:rsidRPr="005A2518">
              <w:rPr>
                <w:rFonts w:ascii="Futura Std Book" w:hAnsi="Futura Std Book"/>
                <w:color w:val="002060"/>
                <w:sz w:val="28"/>
                <w:szCs w:val="28"/>
              </w:rPr>
              <w:t xml:space="preserve">. </w:t>
            </w:r>
            <w:r w:rsidR="008C0B65">
              <w:rPr>
                <w:rFonts w:ascii="Futura Std Book" w:hAnsi="Futura Std Book"/>
                <w:color w:val="002060"/>
                <w:sz w:val="28"/>
                <w:szCs w:val="28"/>
              </w:rPr>
              <w:t>Januar</w:t>
            </w:r>
            <w:r w:rsidR="00BA2B0F" w:rsidRPr="005A2518">
              <w:rPr>
                <w:rFonts w:ascii="Futura Std Book" w:hAnsi="Futura Std Book"/>
                <w:color w:val="002060"/>
                <w:sz w:val="28"/>
                <w:szCs w:val="28"/>
              </w:rPr>
              <w:t xml:space="preserve"> </w:t>
            </w:r>
            <w:r w:rsidR="000C4C4A">
              <w:rPr>
                <w:rFonts w:ascii="Futura Std Book" w:hAnsi="Futura Std Book"/>
                <w:color w:val="002060"/>
                <w:sz w:val="28"/>
                <w:szCs w:val="28"/>
              </w:rPr>
              <w:t>201</w:t>
            </w:r>
            <w:r w:rsidR="008C0B65">
              <w:rPr>
                <w:rFonts w:ascii="Futura Std Book" w:hAnsi="Futura Std Book"/>
                <w:color w:val="002060"/>
                <w:sz w:val="28"/>
                <w:szCs w:val="28"/>
              </w:rPr>
              <w:t>9</w:t>
            </w:r>
          </w:p>
        </w:tc>
      </w:tr>
    </w:tbl>
    <w:p w:rsidR="0058212E" w:rsidRPr="00446A3B" w:rsidRDefault="0058212E" w:rsidP="00460CEA">
      <w:pPr>
        <w:pStyle w:val="BPTabelle"/>
      </w:pPr>
      <w:r w:rsidRPr="00D40BD3">
        <w:br w:type="page"/>
      </w:r>
    </w:p>
    <w:p w:rsidR="00D72379" w:rsidRPr="000C4C4A" w:rsidRDefault="00D72379" w:rsidP="00D72379">
      <w:pPr>
        <w:pStyle w:val="BPnormalerText"/>
        <w:rPr>
          <w:b/>
          <w:bCs/>
          <w:color w:val="002060"/>
        </w:rPr>
      </w:pPr>
      <w:r w:rsidRPr="000C4C4A">
        <w:rPr>
          <w:b/>
          <w:bCs/>
          <w:color w:val="00206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rsidTr="00D72379">
        <w:tc>
          <w:tcPr>
            <w:tcW w:w="1148" w:type="dxa"/>
            <w:shd w:val="clear" w:color="auto" w:fill="E6E6E6"/>
          </w:tcPr>
          <w:p w:rsidR="00D72379" w:rsidRPr="001D1640" w:rsidRDefault="00D72379" w:rsidP="0041487E">
            <w:pPr>
              <w:pStyle w:val="BPnormalerText"/>
              <w:rPr>
                <w:b/>
              </w:rPr>
            </w:pPr>
            <w:r w:rsidRPr="001D1640">
              <w:rPr>
                <w:b/>
              </w:rPr>
              <w:t>Symbol</w:t>
            </w:r>
          </w:p>
        </w:tc>
        <w:tc>
          <w:tcPr>
            <w:tcW w:w="0" w:type="auto"/>
            <w:shd w:val="clear" w:color="auto" w:fill="E6E6E6"/>
          </w:tcPr>
          <w:p w:rsidR="00D72379" w:rsidRPr="001D1640" w:rsidRDefault="00D72379" w:rsidP="0041487E">
            <w:pPr>
              <w:pStyle w:val="BPnormalerText"/>
              <w:rPr>
                <w:b/>
              </w:rPr>
            </w:pPr>
            <w:r w:rsidRPr="001D1640">
              <w:rPr>
                <w:b/>
              </w:rPr>
              <w:t>Bedeutung</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7F19C093" wp14:editId="19FDBAA4">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Achtung</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35EDD3F6" wp14:editId="7FE9488C">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9"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Beispiel</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33912E4D" wp14:editId="63AA1B29">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0"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Hinweis</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0FE0CFE9" wp14:editId="3E94D338">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Empfehlung</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6E77E04F" wp14:editId="07E53628">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Syntax</w:t>
            </w:r>
          </w:p>
        </w:tc>
      </w:tr>
    </w:tbl>
    <w:p w:rsidR="00022C24" w:rsidRDefault="00022C24">
      <w:pPr>
        <w:pStyle w:val="BPnormalerTextChar"/>
      </w:pPr>
    </w:p>
    <w:p w:rsidR="00022C24" w:rsidRPr="00B97A7F" w:rsidRDefault="00022C24" w:rsidP="00B97A7F">
      <w:pPr>
        <w:pStyle w:val="BPnormalerText"/>
        <w:rPr>
          <w:b/>
          <w:bCs/>
          <w:color w:val="002060"/>
        </w:rPr>
      </w:pPr>
      <w:r w:rsidRPr="00B97A7F">
        <w:rPr>
          <w:b/>
          <w:bCs/>
          <w:color w:val="00206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022C24" w:rsidRPr="001D1640" w:rsidTr="00C72032">
        <w:tc>
          <w:tcPr>
            <w:tcW w:w="1481" w:type="dxa"/>
            <w:shd w:val="clear" w:color="auto" w:fill="E6E6E6"/>
          </w:tcPr>
          <w:p w:rsidR="00022C24" w:rsidRPr="001D1640" w:rsidRDefault="00022C24" w:rsidP="00C72032">
            <w:pPr>
              <w:pStyle w:val="BPnormalerText"/>
              <w:rPr>
                <w:b/>
              </w:rPr>
            </w:pPr>
            <w:r>
              <w:rPr>
                <w:b/>
              </w:rPr>
              <w:t>Abkürzung</w:t>
            </w:r>
          </w:p>
        </w:tc>
        <w:tc>
          <w:tcPr>
            <w:tcW w:w="0" w:type="auto"/>
            <w:shd w:val="clear" w:color="auto" w:fill="E6E6E6"/>
          </w:tcPr>
          <w:p w:rsidR="00022C24" w:rsidRPr="001D1640" w:rsidRDefault="00022C24" w:rsidP="00C72032">
            <w:pPr>
              <w:pStyle w:val="BPnormalerText"/>
              <w:rPr>
                <w:b/>
              </w:rPr>
            </w:pPr>
            <w:r w:rsidRPr="001D1640">
              <w:rPr>
                <w:b/>
              </w:rPr>
              <w:t>Bedeutung</w:t>
            </w:r>
          </w:p>
        </w:tc>
      </w:tr>
      <w:tr w:rsidR="00022C24" w:rsidTr="00C72032">
        <w:tc>
          <w:tcPr>
            <w:tcW w:w="1481" w:type="dxa"/>
          </w:tcPr>
          <w:p w:rsidR="00022C24" w:rsidRDefault="00022C24" w:rsidP="00C72032">
            <w:pPr>
              <w:pStyle w:val="BPnormalerText"/>
            </w:pPr>
            <w:r>
              <w:t>DC</w:t>
            </w:r>
          </w:p>
        </w:tc>
        <w:tc>
          <w:tcPr>
            <w:tcW w:w="0" w:type="auto"/>
          </w:tcPr>
          <w:p w:rsidR="00022C24" w:rsidRDefault="00022C24" w:rsidP="00C72032">
            <w:pPr>
              <w:pStyle w:val="BPnormalerText"/>
              <w:rPr>
                <w:rFonts w:cs="Arial"/>
              </w:rPr>
            </w:pPr>
            <w:r>
              <w:t>Dispo-Cockpit</w:t>
            </w:r>
          </w:p>
        </w:tc>
      </w:tr>
      <w:tr w:rsidR="00022C24" w:rsidTr="00C72032">
        <w:tc>
          <w:tcPr>
            <w:tcW w:w="1481" w:type="dxa"/>
          </w:tcPr>
          <w:p w:rsidR="00022C24" w:rsidRDefault="00022C24" w:rsidP="00C72032">
            <w:pPr>
              <w:pStyle w:val="BPnormalerText"/>
              <w:rPr>
                <w:rFonts w:cs="Arial"/>
              </w:rPr>
            </w:pPr>
            <w:r>
              <w:t>DCB</w:t>
            </w:r>
          </w:p>
        </w:tc>
        <w:tc>
          <w:tcPr>
            <w:tcW w:w="0" w:type="auto"/>
          </w:tcPr>
          <w:p w:rsidR="00022C24" w:rsidRDefault="00022C24" w:rsidP="00C72032">
            <w:pPr>
              <w:pStyle w:val="BPnormalerText"/>
              <w:rPr>
                <w:rFonts w:cs="Arial"/>
              </w:rPr>
            </w:pPr>
            <w:r>
              <w:rPr>
                <w:rFonts w:cs="Arial"/>
              </w:rPr>
              <w:t xml:space="preserve">Dispo-Cockpit </w:t>
            </w:r>
            <w:proofErr w:type="spellStart"/>
            <w:r>
              <w:rPr>
                <w:rFonts w:cs="Arial"/>
              </w:rPr>
              <w:t>Buying</w:t>
            </w:r>
            <w:proofErr w:type="spellEnd"/>
          </w:p>
        </w:tc>
      </w:tr>
      <w:tr w:rsidR="00022C24" w:rsidTr="00C72032">
        <w:tc>
          <w:tcPr>
            <w:tcW w:w="1481" w:type="dxa"/>
          </w:tcPr>
          <w:p w:rsidR="00022C24" w:rsidRDefault="00022C24" w:rsidP="00C72032">
            <w:pPr>
              <w:pStyle w:val="BPnormalerText"/>
            </w:pPr>
            <w:r>
              <w:t>DCC</w:t>
            </w:r>
          </w:p>
        </w:tc>
        <w:tc>
          <w:tcPr>
            <w:tcW w:w="0" w:type="auto"/>
          </w:tcPr>
          <w:p w:rsidR="00022C24" w:rsidRDefault="00022C24" w:rsidP="00C72032">
            <w:pPr>
              <w:pStyle w:val="BPnormalerText"/>
              <w:rPr>
                <w:rFonts w:cs="Arial"/>
              </w:rPr>
            </w:pPr>
            <w:r>
              <w:rPr>
                <w:rFonts w:cs="Arial"/>
              </w:rPr>
              <w:t>Dispo-Cockpit Controlling</w:t>
            </w:r>
          </w:p>
        </w:tc>
      </w:tr>
      <w:tr w:rsidR="00022C24" w:rsidTr="00C72032">
        <w:tc>
          <w:tcPr>
            <w:tcW w:w="1481" w:type="dxa"/>
          </w:tcPr>
          <w:p w:rsidR="00022C24" w:rsidRDefault="00022C24" w:rsidP="00C72032">
            <w:pPr>
              <w:pStyle w:val="BPnormalerText"/>
            </w:pPr>
            <w:r>
              <w:t>DCF</w:t>
            </w:r>
          </w:p>
        </w:tc>
        <w:tc>
          <w:tcPr>
            <w:tcW w:w="0" w:type="auto"/>
          </w:tcPr>
          <w:p w:rsidR="00022C24" w:rsidRDefault="00022C24" w:rsidP="00C72032">
            <w:pPr>
              <w:pStyle w:val="BPnormalerText"/>
              <w:rPr>
                <w:rFonts w:cs="Arial"/>
              </w:rPr>
            </w:pPr>
            <w:r>
              <w:rPr>
                <w:rFonts w:cs="Arial"/>
              </w:rPr>
              <w:t>Dispo-Cockpit Forecast</w:t>
            </w:r>
          </w:p>
        </w:tc>
      </w:tr>
      <w:tr w:rsidR="00022C24" w:rsidTr="00C72032">
        <w:tc>
          <w:tcPr>
            <w:tcW w:w="1481" w:type="dxa"/>
          </w:tcPr>
          <w:p w:rsidR="00022C24" w:rsidRDefault="00022C24" w:rsidP="00C72032">
            <w:pPr>
              <w:pStyle w:val="BPnormalerText"/>
            </w:pPr>
            <w:r>
              <w:t>DCO</w:t>
            </w:r>
          </w:p>
        </w:tc>
        <w:tc>
          <w:tcPr>
            <w:tcW w:w="0" w:type="auto"/>
          </w:tcPr>
          <w:p w:rsidR="00022C24" w:rsidRDefault="00022C24" w:rsidP="00C72032">
            <w:pPr>
              <w:pStyle w:val="BPnormalerText"/>
              <w:rPr>
                <w:rFonts w:cs="Arial"/>
              </w:rPr>
            </w:pPr>
            <w:r>
              <w:rPr>
                <w:rFonts w:cs="Arial"/>
              </w:rPr>
              <w:t xml:space="preserve">Dispo-Cockpit </w:t>
            </w:r>
            <w:proofErr w:type="spellStart"/>
            <w:r>
              <w:rPr>
                <w:rFonts w:cs="Arial"/>
              </w:rPr>
              <w:t>Operations</w:t>
            </w:r>
            <w:proofErr w:type="spellEnd"/>
          </w:p>
        </w:tc>
      </w:tr>
      <w:tr w:rsidR="00022C24" w:rsidTr="00C72032">
        <w:tc>
          <w:tcPr>
            <w:tcW w:w="1481" w:type="dxa"/>
          </w:tcPr>
          <w:p w:rsidR="00022C24" w:rsidRDefault="00022C24" w:rsidP="00C72032">
            <w:pPr>
              <w:pStyle w:val="BPnormalerText"/>
            </w:pPr>
            <w:r>
              <w:t>DCP</w:t>
            </w:r>
          </w:p>
        </w:tc>
        <w:tc>
          <w:tcPr>
            <w:tcW w:w="0" w:type="auto"/>
          </w:tcPr>
          <w:p w:rsidR="00022C24" w:rsidRDefault="00022C24" w:rsidP="00C72032">
            <w:pPr>
              <w:pStyle w:val="BPnormalerText"/>
              <w:rPr>
                <w:rFonts w:cs="Arial"/>
              </w:rPr>
            </w:pPr>
            <w:r>
              <w:rPr>
                <w:rFonts w:cs="Arial"/>
              </w:rPr>
              <w:t xml:space="preserve">Dispo-Cockpit </w:t>
            </w:r>
            <w:proofErr w:type="spellStart"/>
            <w:r>
              <w:rPr>
                <w:rFonts w:cs="Arial"/>
              </w:rPr>
              <w:t>Planning</w:t>
            </w:r>
            <w:proofErr w:type="spellEnd"/>
          </w:p>
        </w:tc>
      </w:tr>
      <w:tr w:rsidR="00022C24" w:rsidRPr="007A0916" w:rsidTr="00C72032">
        <w:tc>
          <w:tcPr>
            <w:tcW w:w="1481" w:type="dxa"/>
          </w:tcPr>
          <w:p w:rsidR="00022C24" w:rsidRDefault="00022C24" w:rsidP="00C72032">
            <w:pPr>
              <w:pStyle w:val="BPnormalerText"/>
            </w:pPr>
            <w:r>
              <w:t>DCV</w:t>
            </w:r>
          </w:p>
        </w:tc>
        <w:tc>
          <w:tcPr>
            <w:tcW w:w="0" w:type="auto"/>
          </w:tcPr>
          <w:p w:rsidR="00022C24" w:rsidRPr="00E71417" w:rsidRDefault="00022C24" w:rsidP="00C72032">
            <w:pPr>
              <w:pStyle w:val="BPnormalerText"/>
              <w:rPr>
                <w:rFonts w:cs="Arial"/>
                <w:lang w:val="en-US"/>
              </w:rPr>
            </w:pPr>
            <w:proofErr w:type="spellStart"/>
            <w:r w:rsidRPr="00E71417">
              <w:rPr>
                <w:rFonts w:cs="Arial"/>
                <w:lang w:val="en-US"/>
              </w:rPr>
              <w:t>Dispo</w:t>
            </w:r>
            <w:proofErr w:type="spellEnd"/>
            <w:r>
              <w:rPr>
                <w:rFonts w:cs="Arial"/>
                <w:lang w:val="en-US"/>
              </w:rPr>
              <w:t>-Cockpit Vendor-Managed Inventory</w:t>
            </w:r>
          </w:p>
        </w:tc>
      </w:tr>
      <w:tr w:rsidR="00022C24" w:rsidRPr="00E71417" w:rsidTr="00C72032">
        <w:tc>
          <w:tcPr>
            <w:tcW w:w="1481" w:type="dxa"/>
          </w:tcPr>
          <w:p w:rsidR="00022C24" w:rsidRDefault="00022C24" w:rsidP="00C72032">
            <w:pPr>
              <w:pStyle w:val="BPnormalerText"/>
            </w:pPr>
            <w:r>
              <w:t>BWB</w:t>
            </w:r>
          </w:p>
        </w:tc>
        <w:tc>
          <w:tcPr>
            <w:tcW w:w="0" w:type="auto"/>
          </w:tcPr>
          <w:p w:rsidR="00022C24" w:rsidRPr="00E71417" w:rsidRDefault="00022C24" w:rsidP="00C72032">
            <w:pPr>
              <w:pStyle w:val="BPnormalerText"/>
              <w:rPr>
                <w:rFonts w:cs="Arial"/>
                <w:lang w:val="en-US"/>
              </w:rPr>
            </w:pPr>
            <w:r>
              <w:rPr>
                <w:lang w:val="it-IT"/>
              </w:rPr>
              <w:t>Bulk Workbench</w:t>
            </w:r>
          </w:p>
        </w:tc>
      </w:tr>
      <w:tr w:rsidR="00022C24" w:rsidRPr="00E71417" w:rsidTr="00C72032">
        <w:tc>
          <w:tcPr>
            <w:tcW w:w="1481" w:type="dxa"/>
          </w:tcPr>
          <w:p w:rsidR="00022C24" w:rsidRDefault="00022C24" w:rsidP="00C72032">
            <w:pPr>
              <w:pStyle w:val="BPnormalerText"/>
            </w:pPr>
            <w:r>
              <w:t>RWB</w:t>
            </w:r>
          </w:p>
        </w:tc>
        <w:tc>
          <w:tcPr>
            <w:tcW w:w="0" w:type="auto"/>
          </w:tcPr>
          <w:p w:rsidR="00022C24" w:rsidRPr="00E71417" w:rsidRDefault="00022C24" w:rsidP="00C72032">
            <w:pPr>
              <w:pStyle w:val="BPnormalerText"/>
              <w:rPr>
                <w:rFonts w:cs="Arial"/>
                <w:lang w:val="en-US"/>
              </w:rPr>
            </w:pPr>
            <w:proofErr w:type="spellStart"/>
            <w:r>
              <w:rPr>
                <w:lang w:val="it-IT"/>
              </w:rPr>
              <w:t>Rule</w:t>
            </w:r>
            <w:proofErr w:type="spellEnd"/>
            <w:r>
              <w:rPr>
                <w:lang w:val="it-IT"/>
              </w:rPr>
              <w:t xml:space="preserve"> Workbench</w:t>
            </w:r>
          </w:p>
        </w:tc>
      </w:tr>
      <w:tr w:rsidR="00022C24" w:rsidRPr="00E71417" w:rsidTr="00C72032">
        <w:tc>
          <w:tcPr>
            <w:tcW w:w="1481" w:type="dxa"/>
          </w:tcPr>
          <w:p w:rsidR="00022C24" w:rsidRDefault="00022C24" w:rsidP="00C72032">
            <w:pPr>
              <w:pStyle w:val="BPnormalerText"/>
            </w:pPr>
            <w:r>
              <w:t>TWB</w:t>
            </w:r>
          </w:p>
        </w:tc>
        <w:tc>
          <w:tcPr>
            <w:tcW w:w="0" w:type="auto"/>
          </w:tcPr>
          <w:p w:rsidR="00022C24" w:rsidRPr="00E71417" w:rsidRDefault="00022C24" w:rsidP="00C72032">
            <w:pPr>
              <w:pStyle w:val="BPnormalerText"/>
              <w:rPr>
                <w:rFonts w:cs="Arial"/>
                <w:lang w:val="en-US"/>
              </w:rPr>
            </w:pPr>
            <w:r>
              <w:rPr>
                <w:lang w:val="it-IT"/>
              </w:rPr>
              <w:t>Target Workbench</w:t>
            </w:r>
          </w:p>
        </w:tc>
      </w:tr>
    </w:tbl>
    <w:p w:rsidR="009858FD" w:rsidRDefault="00354EF3">
      <w:pPr>
        <w:pStyle w:val="BPnormalerTextChar"/>
      </w:pPr>
      <w:r w:rsidRPr="00F33C3B">
        <w:br w:type="page"/>
      </w:r>
    </w:p>
    <w:p w:rsidR="005D6230" w:rsidRPr="0057648A" w:rsidRDefault="002C325B">
      <w:pPr>
        <w:pStyle w:val="BPnormalerTextChar"/>
        <w:rPr>
          <w:b/>
          <w:color w:val="002060"/>
          <w:sz w:val="28"/>
          <w:szCs w:val="28"/>
          <w:u w:color="002060"/>
        </w:rPr>
      </w:pPr>
      <w:r w:rsidRPr="0057648A">
        <w:rPr>
          <w:b/>
          <w:color w:val="002060"/>
          <w:sz w:val="28"/>
          <w:szCs w:val="28"/>
          <w:u w:color="002060"/>
        </w:rPr>
        <w:lastRenderedPageBreak/>
        <w:t>INHALTSVERZEICHNIS</w:t>
      </w:r>
    </w:p>
    <w:bookmarkStart w:id="1" w:name="_GoBack"/>
    <w:bookmarkEnd w:id="1"/>
    <w:p w:rsidR="00FA0A8D" w:rsidRDefault="000D21EE">
      <w:pPr>
        <w:pStyle w:val="Verzeichnis1"/>
        <w:rPr>
          <w:rFonts w:asciiTheme="minorHAnsi" w:eastAsiaTheme="minorEastAsia" w:hAnsiTheme="minorHAnsi" w:cstheme="minorBidi"/>
          <w:b w:val="0"/>
          <w:i w:val="0"/>
          <w:noProof/>
          <w:color w:val="auto"/>
          <w:sz w:val="22"/>
          <w:szCs w:val="22"/>
          <w:lang w:eastAsia="de-DE"/>
        </w:rPr>
      </w:pPr>
      <w:r>
        <w:rPr>
          <w:i w:val="0"/>
          <w:iCs/>
          <w:sz w:val="24"/>
          <w:u w:color="002060"/>
        </w:rPr>
        <w:fldChar w:fldCharType="begin"/>
      </w:r>
      <w:r>
        <w:rPr>
          <w:iCs/>
          <w:u w:color="002060"/>
        </w:rPr>
        <w:instrText xml:space="preserve"> TOC \o "1-3" \h \z \u </w:instrText>
      </w:r>
      <w:r>
        <w:rPr>
          <w:i w:val="0"/>
          <w:iCs/>
          <w:sz w:val="24"/>
          <w:u w:color="002060"/>
        </w:rPr>
        <w:fldChar w:fldCharType="separate"/>
      </w:r>
      <w:hyperlink w:anchor="_Toc259645" w:history="1">
        <w:r w:rsidR="00FA0A8D" w:rsidRPr="00F56F55">
          <w:rPr>
            <w:rStyle w:val="Hyperlink"/>
            <w:noProof/>
          </w:rPr>
          <w:t>Vorwort</w:t>
        </w:r>
        <w:r w:rsidR="00FA0A8D">
          <w:rPr>
            <w:noProof/>
            <w:webHidden/>
          </w:rPr>
          <w:tab/>
        </w:r>
        <w:r w:rsidR="00FA0A8D">
          <w:rPr>
            <w:noProof/>
            <w:webHidden/>
          </w:rPr>
          <w:fldChar w:fldCharType="begin"/>
        </w:r>
        <w:r w:rsidR="00FA0A8D">
          <w:rPr>
            <w:noProof/>
            <w:webHidden/>
          </w:rPr>
          <w:instrText xml:space="preserve"> PAGEREF _Toc259645 \h </w:instrText>
        </w:r>
        <w:r w:rsidR="00FA0A8D">
          <w:rPr>
            <w:noProof/>
            <w:webHidden/>
          </w:rPr>
        </w:r>
        <w:r w:rsidR="00FA0A8D">
          <w:rPr>
            <w:noProof/>
            <w:webHidden/>
          </w:rPr>
          <w:fldChar w:fldCharType="separate"/>
        </w:r>
        <w:r w:rsidR="00FA0A8D">
          <w:rPr>
            <w:noProof/>
            <w:webHidden/>
          </w:rPr>
          <w:t>3</w:t>
        </w:r>
        <w:r w:rsidR="00FA0A8D">
          <w:rPr>
            <w:noProof/>
            <w:webHidden/>
          </w:rPr>
          <w:fldChar w:fldCharType="end"/>
        </w:r>
      </w:hyperlink>
    </w:p>
    <w:p w:rsidR="00FA0A8D" w:rsidRDefault="00FA0A8D">
      <w:pPr>
        <w:pStyle w:val="Verzeichnis2"/>
        <w:rPr>
          <w:rFonts w:asciiTheme="minorHAnsi" w:eastAsiaTheme="minorEastAsia" w:hAnsiTheme="minorHAnsi" w:cstheme="minorBidi"/>
          <w:b w:val="0"/>
          <w:noProof/>
          <w:color w:val="auto"/>
          <w:sz w:val="22"/>
          <w:szCs w:val="22"/>
          <w:lang w:eastAsia="de-DE"/>
        </w:rPr>
      </w:pPr>
      <w:hyperlink w:anchor="_Toc259646" w:history="1">
        <w:r w:rsidRPr="00F56F55">
          <w:rPr>
            <w:rStyle w:val="Hyperlink"/>
            <w:noProof/>
          </w:rPr>
          <w:t>Problemstellung</w:t>
        </w:r>
        <w:r>
          <w:rPr>
            <w:noProof/>
            <w:webHidden/>
          </w:rPr>
          <w:tab/>
        </w:r>
        <w:r>
          <w:rPr>
            <w:noProof/>
            <w:webHidden/>
          </w:rPr>
          <w:fldChar w:fldCharType="begin"/>
        </w:r>
        <w:r>
          <w:rPr>
            <w:noProof/>
            <w:webHidden/>
          </w:rPr>
          <w:instrText xml:space="preserve"> PAGEREF _Toc259646 \h </w:instrText>
        </w:r>
        <w:r>
          <w:rPr>
            <w:noProof/>
            <w:webHidden/>
          </w:rPr>
        </w:r>
        <w:r>
          <w:rPr>
            <w:noProof/>
            <w:webHidden/>
          </w:rPr>
          <w:fldChar w:fldCharType="separate"/>
        </w:r>
        <w:r>
          <w:rPr>
            <w:noProof/>
            <w:webHidden/>
          </w:rPr>
          <w:t>3</w:t>
        </w:r>
        <w:r>
          <w:rPr>
            <w:noProof/>
            <w:webHidden/>
          </w:rPr>
          <w:fldChar w:fldCharType="end"/>
        </w:r>
      </w:hyperlink>
    </w:p>
    <w:p w:rsidR="00FA0A8D" w:rsidRDefault="00FA0A8D">
      <w:pPr>
        <w:pStyle w:val="Verzeichnis2"/>
        <w:rPr>
          <w:rFonts w:asciiTheme="minorHAnsi" w:eastAsiaTheme="minorEastAsia" w:hAnsiTheme="minorHAnsi" w:cstheme="minorBidi"/>
          <w:b w:val="0"/>
          <w:noProof/>
          <w:color w:val="auto"/>
          <w:sz w:val="22"/>
          <w:szCs w:val="22"/>
          <w:lang w:eastAsia="de-DE"/>
        </w:rPr>
      </w:pPr>
      <w:hyperlink w:anchor="_Toc259647" w:history="1">
        <w:r w:rsidRPr="00F56F55">
          <w:rPr>
            <w:rStyle w:val="Hyperlink"/>
            <w:noProof/>
          </w:rPr>
          <w:t>Analyse</w:t>
        </w:r>
        <w:r>
          <w:rPr>
            <w:noProof/>
            <w:webHidden/>
          </w:rPr>
          <w:tab/>
        </w:r>
        <w:r>
          <w:rPr>
            <w:noProof/>
            <w:webHidden/>
          </w:rPr>
          <w:fldChar w:fldCharType="begin"/>
        </w:r>
        <w:r>
          <w:rPr>
            <w:noProof/>
            <w:webHidden/>
          </w:rPr>
          <w:instrText xml:space="preserve"> PAGEREF _Toc259647 \h </w:instrText>
        </w:r>
        <w:r>
          <w:rPr>
            <w:noProof/>
            <w:webHidden/>
          </w:rPr>
        </w:r>
        <w:r>
          <w:rPr>
            <w:noProof/>
            <w:webHidden/>
          </w:rPr>
          <w:fldChar w:fldCharType="separate"/>
        </w:r>
        <w:r>
          <w:rPr>
            <w:noProof/>
            <w:webHidden/>
          </w:rPr>
          <w:t>3</w:t>
        </w:r>
        <w:r>
          <w:rPr>
            <w:noProof/>
            <w:webHidden/>
          </w:rPr>
          <w:fldChar w:fldCharType="end"/>
        </w:r>
      </w:hyperlink>
    </w:p>
    <w:p w:rsidR="00FA0A8D" w:rsidRDefault="00FA0A8D">
      <w:pPr>
        <w:pStyle w:val="Verzeichnis3"/>
        <w:rPr>
          <w:rFonts w:asciiTheme="minorHAnsi" w:eastAsiaTheme="minorEastAsia" w:hAnsiTheme="minorHAnsi" w:cstheme="minorBidi"/>
          <w:b w:val="0"/>
          <w:color w:val="auto"/>
          <w:szCs w:val="22"/>
          <w:lang w:eastAsia="de-DE"/>
        </w:rPr>
      </w:pPr>
      <w:hyperlink w:anchor="_Toc259648" w:history="1">
        <w:r w:rsidRPr="00F56F55">
          <w:rPr>
            <w:rStyle w:val="Hyperlink"/>
          </w:rPr>
          <w:t>Planaufträge</w:t>
        </w:r>
        <w:r>
          <w:rPr>
            <w:webHidden/>
          </w:rPr>
          <w:tab/>
        </w:r>
        <w:r>
          <w:rPr>
            <w:webHidden/>
          </w:rPr>
          <w:fldChar w:fldCharType="begin"/>
        </w:r>
        <w:r>
          <w:rPr>
            <w:webHidden/>
          </w:rPr>
          <w:instrText xml:space="preserve"> PAGEREF _Toc259648 \h </w:instrText>
        </w:r>
        <w:r>
          <w:rPr>
            <w:webHidden/>
          </w:rPr>
        </w:r>
        <w:r>
          <w:rPr>
            <w:webHidden/>
          </w:rPr>
          <w:fldChar w:fldCharType="separate"/>
        </w:r>
        <w:r>
          <w:rPr>
            <w:webHidden/>
          </w:rPr>
          <w:t>4</w:t>
        </w:r>
        <w:r>
          <w:rPr>
            <w:webHidden/>
          </w:rPr>
          <w:fldChar w:fldCharType="end"/>
        </w:r>
      </w:hyperlink>
    </w:p>
    <w:p w:rsidR="00FA0A8D" w:rsidRDefault="00FA0A8D">
      <w:pPr>
        <w:pStyle w:val="Verzeichnis2"/>
        <w:rPr>
          <w:rFonts w:asciiTheme="minorHAnsi" w:eastAsiaTheme="minorEastAsia" w:hAnsiTheme="minorHAnsi" w:cstheme="minorBidi"/>
          <w:b w:val="0"/>
          <w:noProof/>
          <w:color w:val="auto"/>
          <w:sz w:val="22"/>
          <w:szCs w:val="22"/>
          <w:lang w:eastAsia="de-DE"/>
        </w:rPr>
      </w:pPr>
      <w:hyperlink w:anchor="_Toc259649" w:history="1">
        <w:r w:rsidRPr="00F56F55">
          <w:rPr>
            <w:rStyle w:val="Hyperlink"/>
            <w:noProof/>
          </w:rPr>
          <w:t>Lösungsansatz:</w:t>
        </w:r>
        <w:r>
          <w:rPr>
            <w:noProof/>
            <w:webHidden/>
          </w:rPr>
          <w:tab/>
        </w:r>
        <w:r>
          <w:rPr>
            <w:noProof/>
            <w:webHidden/>
          </w:rPr>
          <w:fldChar w:fldCharType="begin"/>
        </w:r>
        <w:r>
          <w:rPr>
            <w:noProof/>
            <w:webHidden/>
          </w:rPr>
          <w:instrText xml:space="preserve"> PAGEREF _Toc259649 \h </w:instrText>
        </w:r>
        <w:r>
          <w:rPr>
            <w:noProof/>
            <w:webHidden/>
          </w:rPr>
        </w:r>
        <w:r>
          <w:rPr>
            <w:noProof/>
            <w:webHidden/>
          </w:rPr>
          <w:fldChar w:fldCharType="separate"/>
        </w:r>
        <w:r>
          <w:rPr>
            <w:noProof/>
            <w:webHidden/>
          </w:rPr>
          <w:t>5</w:t>
        </w:r>
        <w:r>
          <w:rPr>
            <w:noProof/>
            <w:webHidden/>
          </w:rPr>
          <w:fldChar w:fldCharType="end"/>
        </w:r>
      </w:hyperlink>
    </w:p>
    <w:p w:rsidR="00E0665A" w:rsidRPr="00A369FE" w:rsidRDefault="000D21EE" w:rsidP="00E0665A">
      <w:pPr>
        <w:pStyle w:val="BPUeberschrift1"/>
      </w:pPr>
      <w:r>
        <w:rPr>
          <w:rFonts w:cs="Times New Roman"/>
          <w:b w:val="0"/>
          <w:iCs/>
          <w:sz w:val="28"/>
          <w:szCs w:val="24"/>
          <w:u w:color="002060"/>
        </w:rPr>
        <w:lastRenderedPageBreak/>
        <w:fldChar w:fldCharType="end"/>
      </w:r>
      <w:bookmarkStart w:id="2" w:name="_Toc530651049"/>
      <w:bookmarkStart w:id="3" w:name="_Toc259645"/>
      <w:r w:rsidR="00E0665A" w:rsidRPr="00A369FE">
        <w:t>Vorwort</w:t>
      </w:r>
      <w:bookmarkEnd w:id="2"/>
      <w:bookmarkEnd w:id="3"/>
    </w:p>
    <w:p w:rsidR="00E2470A" w:rsidRDefault="00E2470A" w:rsidP="00E0665A">
      <w:pPr>
        <w:pStyle w:val="BPnormalerText"/>
      </w:pPr>
      <w:r>
        <w:t xml:space="preserve">Neue Einträge der Tabelle /GIB/DCP_MAIN werden derzeit aus den Vorgangsdaten des Auftrages gezogen. Planaufträge werden </w:t>
      </w:r>
      <w:proofErr w:type="spellStart"/>
      <w:r>
        <w:t>simulativ</w:t>
      </w:r>
      <w:proofErr w:type="spellEnd"/>
      <w:r>
        <w:t xml:space="preserve"> in Fertigungsaufträge umgesetzt. Aus den daraus temporär entstanden Vorgängen werden die Daten zur Fortschreibung in das DCP ermittelt.</w:t>
      </w:r>
    </w:p>
    <w:p w:rsidR="00E2470A" w:rsidRDefault="00E2470A" w:rsidP="00E0665A">
      <w:pPr>
        <w:pStyle w:val="BPnormalerText"/>
      </w:pPr>
      <w:r>
        <w:t>Grund für diese Vorgehensweise ist, auch Daten zu ermitteln, für die in den Vorgängen keine Vorgabewerte hinterlegt sind und somit keine Kapazitätsbedarfe im System zu finden sind.</w:t>
      </w:r>
    </w:p>
    <w:p w:rsidR="00E2470A" w:rsidRDefault="00E2470A" w:rsidP="00E0665A">
      <w:pPr>
        <w:pStyle w:val="BPnormalerText"/>
      </w:pPr>
      <w:r>
        <w:t xml:space="preserve">In den Bereichseinstellungen kann über die Einstellung „Nullzeiten übernehmen“ </w:t>
      </w:r>
      <w:r w:rsidR="007E1058">
        <w:t>gesteuert werden, ob diese Daten ermittelt werden sollen.</w:t>
      </w:r>
    </w:p>
    <w:p w:rsidR="007E1058" w:rsidRDefault="007E1058" w:rsidP="00E0665A">
      <w:pPr>
        <w:pStyle w:val="BPnormalerText"/>
      </w:pPr>
    </w:p>
    <w:p w:rsidR="007E1058" w:rsidRDefault="007E1058" w:rsidP="007E1058">
      <w:pPr>
        <w:pStyle w:val="BPUeberschrift2"/>
      </w:pPr>
      <w:bookmarkStart w:id="4" w:name="_Toc259646"/>
      <w:r>
        <w:t>Problemstellung</w:t>
      </w:r>
      <w:bookmarkEnd w:id="4"/>
    </w:p>
    <w:p w:rsidR="00E0665A" w:rsidRDefault="003E2F04" w:rsidP="00E0665A">
      <w:pPr>
        <w:pStyle w:val="BPnormalerText"/>
      </w:pPr>
      <w:r>
        <w:t>Das Programm um die Daten zu Laden, hat derzeit eine sehr lange Laufzeit. Diese Laufzeit ist darin begründet, dass die Option „Nullzeiten übernehmen“ gewählt sein kann.</w:t>
      </w:r>
    </w:p>
    <w:p w:rsidR="007E1058" w:rsidRDefault="007E1058" w:rsidP="007E1058">
      <w:pPr>
        <w:pStyle w:val="BPnormalerText"/>
      </w:pPr>
      <w:r>
        <w:t>Wenn es notwendig wird, die Daten zu korrigieren, muss derzeit die komplette Ermittlung laufen. Da das Programm durchaus mehrere Tage Laufzeit (abhängig von der Anzahl Daten im System) in Anspruch nimmt ist eine Anpassung der bereits gespeicherten Daten im „Normalbetrieb“ nicht möglich.</w:t>
      </w:r>
    </w:p>
    <w:p w:rsidR="007E1058" w:rsidRDefault="007E1058" w:rsidP="00E0665A">
      <w:pPr>
        <w:pStyle w:val="BPnormalerText"/>
      </w:pPr>
    </w:p>
    <w:p w:rsidR="00E0665A" w:rsidRDefault="007E1058" w:rsidP="00E0665A">
      <w:pPr>
        <w:pStyle w:val="BPnormalerText"/>
      </w:pPr>
      <w:r>
        <w:t xml:space="preserve">Es können Vorgangsdaten für Planaufträge im DCP angezeigt werden, die der Anwender im SAP-Standarddialog nicht sehen kann. </w:t>
      </w:r>
    </w:p>
    <w:p w:rsidR="007E1058" w:rsidRDefault="007E1058" w:rsidP="00E0665A">
      <w:pPr>
        <w:pStyle w:val="BPnormalerText"/>
      </w:pPr>
    </w:p>
    <w:p w:rsidR="00E0665A" w:rsidRPr="00DB0370" w:rsidRDefault="00E0665A" w:rsidP="00E0665A">
      <w:pPr>
        <w:pStyle w:val="BPUeberschrift2"/>
      </w:pPr>
      <w:bookmarkStart w:id="5" w:name="_Toc530651050"/>
      <w:bookmarkStart w:id="6" w:name="_Toc259647"/>
      <w:r>
        <w:t>Analyse</w:t>
      </w:r>
      <w:bookmarkEnd w:id="5"/>
      <w:bookmarkEnd w:id="6"/>
    </w:p>
    <w:p w:rsidR="003E2F04" w:rsidRDefault="003E2F04" w:rsidP="003E2F04">
      <w:pPr>
        <w:pStyle w:val="BPnormalerText"/>
      </w:pPr>
      <w:r>
        <w:t>Sollen auch Vorgänge in das DCP übernommen werden, die keine Vorgabewerte haben, muss die Datenselektion für das komplette Auftragsspektrum durchgeführt werden. Hierbei werden alle Aufträge gelesen und geprüft, ob sich in den Vorgängen ein Arbeitsplatz befindet, der im DCP als Bereich hinterlegt wurde. Für jeden Auftrag muss zusätzlich geprüft werden, ob dieser im DCP überhaupt gespeichert werden soll.</w:t>
      </w:r>
    </w:p>
    <w:p w:rsidR="00F62F7C" w:rsidRDefault="00F62F7C" w:rsidP="003E2F04">
      <w:pPr>
        <w:pStyle w:val="BPnormalerText"/>
      </w:pPr>
      <w:r>
        <w:t xml:space="preserve">Die Feinterminierung des Planauftrages zeigt nur Vorgänge an, die einen Kapazitätsbedarf darstellen. Ein Vorgang ohne Vorgabewerte wird nicht angezeigt. Wird der Planauftrag in einen Fertigungsauftrag umgesetzt, werden die Vorgänge, für die es keine Vorgabewerte gibt angelegt. Somit erscheinen diese Vorgänge im DCP. Ein solcher Vorgang kann im DCP eingeplant werden. Es kann auch ein Arbeitsplatzwechsel im DCP vorgenommen werden. Da es jedoch keinen Kapazitätsbedarfseinzelsatz für diesen Vorgang im System gibt, kann die Information nicht im Planauftrag gespeichert werden. Bei einer anschließenden Umsetzung des Planauftrages in einen Fertigungsauftrag wird die hinterlegte Arbeitsplaninformation gelesen und der Vorgang erhält den Arbeitsplatz der im Arbeitsplan hinterlegt wurde. Der Vorgang fällt aus dem Bereich des </w:t>
      </w:r>
      <w:proofErr w:type="spellStart"/>
      <w:r>
        <w:t>DCP’s</w:t>
      </w:r>
      <w:proofErr w:type="spellEnd"/>
      <w:r>
        <w:t xml:space="preserve"> heraus, weil er wieder auf dem alten Arbeitsplatz steht.</w:t>
      </w:r>
    </w:p>
    <w:p w:rsidR="00EE6E1D" w:rsidRDefault="00EE6E1D">
      <w:pPr>
        <w:spacing w:before="0" w:after="0"/>
      </w:pPr>
      <w:r>
        <w:br w:type="page"/>
      </w:r>
    </w:p>
    <w:p w:rsidR="00F62F7C" w:rsidRDefault="00F62F7C" w:rsidP="003E2F04">
      <w:pPr>
        <w:pStyle w:val="BPnormalerText"/>
      </w:pPr>
    </w:p>
    <w:p w:rsidR="00F62F7C" w:rsidRDefault="00F62F7C" w:rsidP="003E2F04">
      <w:pPr>
        <w:pStyle w:val="BPnormalerText"/>
      </w:pPr>
      <w:r>
        <w:t>Die Funktion „Nullzeiten übernehmen“ kann unterschiedlich</w:t>
      </w:r>
      <w:r w:rsidR="000F49FF">
        <w:t xml:space="preserve"> interpretiert werden:</w:t>
      </w:r>
    </w:p>
    <w:p w:rsidR="000F49FF" w:rsidRDefault="000F49FF" w:rsidP="003E2F04">
      <w:pPr>
        <w:pStyle w:val="BPnormalerText"/>
      </w:pPr>
    </w:p>
    <w:p w:rsidR="00EE6E1D" w:rsidRDefault="00EE6E1D" w:rsidP="000F49FF">
      <w:pPr>
        <w:pStyle w:val="BPnormalerText"/>
        <w:numPr>
          <w:ilvl w:val="0"/>
          <w:numId w:val="22"/>
        </w:numPr>
      </w:pPr>
      <w:r>
        <w:t>Nullzeiten aufgrund fehlender Stammdaten</w:t>
      </w:r>
    </w:p>
    <w:p w:rsidR="000F49FF" w:rsidRDefault="000F49FF" w:rsidP="00EE6E1D">
      <w:pPr>
        <w:pStyle w:val="BPnormalerText"/>
        <w:ind w:left="720"/>
      </w:pPr>
      <w:r>
        <w:t xml:space="preserve">Im Vorgang wurde in den entsprechenden Vorgabewerten kein Eintrag vorgenommen. Dementsprechend gib es im System keine Kapazitätsbelastung und keine Kapazitätsbedarfseinzelsätze. </w:t>
      </w:r>
    </w:p>
    <w:p w:rsidR="000F49FF" w:rsidRDefault="000F49FF" w:rsidP="00EE6E1D">
      <w:pPr>
        <w:pStyle w:val="BPnormalerText"/>
        <w:ind w:firstLine="720"/>
      </w:pPr>
      <w:r>
        <w:t xml:space="preserve">Die Funktion wird dazu eingesetzt, um fehlende Stammdaten zu identifizieren. </w:t>
      </w:r>
    </w:p>
    <w:p w:rsidR="000F49FF" w:rsidRDefault="00D73F0F" w:rsidP="00EE6E1D">
      <w:pPr>
        <w:pStyle w:val="BPnormalerText"/>
        <w:ind w:left="720"/>
      </w:pPr>
      <w:r>
        <w:rPr>
          <w:noProof/>
          <w:lang w:eastAsia="de-DE"/>
        </w:rPr>
        <w:drawing>
          <wp:inline distT="0" distB="0" distL="0" distR="0" wp14:anchorId="663FFE36" wp14:editId="40084D69">
            <wp:extent cx="231775" cy="231775"/>
            <wp:effectExtent l="19050" t="0" r="0" b="0"/>
            <wp:docPr id="2"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r>
        <w:tab/>
      </w:r>
      <w:r w:rsidR="000F49FF">
        <w:t xml:space="preserve">Um solche Daten zu identifizieren, müssen alle Vorgänge untersucht werden. Gerade der Datenlade-Report hat hierdurch eine sehr hohe Laufzeit. Um die Daten für einen Bereich zu ermitteln, werden alle Auftragsdaten des SAP-System eingelesen und alle Planaufträge virtuell in Fertigungsaufträge umgesetzt. Nachdem alle Vorgänge eingelesen worden, muss geprüft werden ob der jeweilige Vorgänge </w:t>
      </w:r>
      <w:r w:rsidR="001729D2">
        <w:t>ein Bereich für das DCP enthält.</w:t>
      </w:r>
    </w:p>
    <w:p w:rsidR="00D73F0F" w:rsidRDefault="00D73F0F" w:rsidP="00EE6E1D">
      <w:pPr>
        <w:pStyle w:val="BPnormalerText"/>
        <w:ind w:left="720"/>
      </w:pPr>
    </w:p>
    <w:p w:rsidR="00EE6E1D" w:rsidRDefault="00EE6E1D" w:rsidP="000F49FF">
      <w:pPr>
        <w:pStyle w:val="BPnormalerText"/>
        <w:numPr>
          <w:ilvl w:val="0"/>
          <w:numId w:val="22"/>
        </w:numPr>
      </w:pPr>
      <w:r>
        <w:t xml:space="preserve">Nullzeiten durch noch nicht vollständig rückgemeldete </w:t>
      </w:r>
      <w:r w:rsidR="001729D2">
        <w:t>Vorgänge</w:t>
      </w:r>
    </w:p>
    <w:p w:rsidR="00EE6E1D" w:rsidRDefault="00EE6E1D" w:rsidP="00EE6E1D">
      <w:pPr>
        <w:pStyle w:val="BPnormalerText"/>
        <w:ind w:left="720"/>
      </w:pPr>
      <w:r>
        <w:t>Für Vorgänge, für die in den Vorgabewerten Einträge vorgenommen worden, erstellt das System Kapazitätsbedarfseinzelsätze. Durch Rückmeldungen werden die Werte das Kapazitätsbedarfseinzelsatz abgebaut. Der Kapazitätsbedarfseinzelsatz wird gelöscht, wenn der Vorgang vollständig zurückgemeldet wurde. Eine Anzeige dieser Vorgänge würde den User darüber informieren, dass der Vorgang zwar abgearbeitet wurde und kein Kapazitätsbedarf mehr vorliegt, diese Vorgang aber noch nicht ordnungsgemäß zurückgemeldet ist.</w:t>
      </w:r>
    </w:p>
    <w:p w:rsidR="00EE6E1D" w:rsidRDefault="00EE6E1D" w:rsidP="00EE6E1D">
      <w:pPr>
        <w:pStyle w:val="BPnormalerText"/>
        <w:ind w:left="720"/>
      </w:pPr>
      <w:r>
        <w:t>Die Ermittlung der Daten kann komplett über die Kapazitätsbedarfseinzelsätze erfolgen. Da hier nur die offenen Vorgänge hinterlegt sind, ist die Laufzeit des Datenlade-Reports performant.</w:t>
      </w:r>
      <w:r w:rsidR="00D73F0F">
        <w:t xml:space="preserve"> </w:t>
      </w:r>
    </w:p>
    <w:p w:rsidR="00D73F0F" w:rsidRDefault="00D73F0F" w:rsidP="00EE6E1D">
      <w:pPr>
        <w:pStyle w:val="BPnormalerText"/>
        <w:ind w:left="720"/>
      </w:pPr>
    </w:p>
    <w:p w:rsidR="000F49FF" w:rsidRDefault="00EE6E1D" w:rsidP="00EE6E1D">
      <w:pPr>
        <w:pStyle w:val="BPnormalerText"/>
        <w:ind w:left="720"/>
      </w:pPr>
      <w:r>
        <w:t xml:space="preserve"> </w:t>
      </w:r>
      <w:r w:rsidR="001729D2">
        <w:t xml:space="preserve"> </w:t>
      </w:r>
      <w:r w:rsidR="00D73F0F">
        <w:rPr>
          <w:noProof/>
          <w:lang w:eastAsia="de-DE"/>
        </w:rPr>
        <w:drawing>
          <wp:inline distT="0" distB="0" distL="0" distR="0" wp14:anchorId="583D626A" wp14:editId="45F55393">
            <wp:extent cx="231775" cy="231775"/>
            <wp:effectExtent l="19050" t="0" r="0" b="0"/>
            <wp:docPr id="7"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r w:rsidR="00D73F0F">
        <w:t xml:space="preserve"> Die Datenbeschaffung für das DCP sollte über die Selektion der Kapazitätsbedarfseinzelsätze erfolgen.</w:t>
      </w:r>
    </w:p>
    <w:p w:rsidR="007A0916" w:rsidRDefault="007A0916" w:rsidP="00EE6E1D">
      <w:pPr>
        <w:pStyle w:val="BPnormalerText"/>
        <w:ind w:left="720"/>
      </w:pPr>
    </w:p>
    <w:p w:rsidR="007A0916" w:rsidRDefault="007A0916" w:rsidP="007A0916">
      <w:pPr>
        <w:pStyle w:val="BPUeberschrift3"/>
      </w:pPr>
      <w:bookmarkStart w:id="7" w:name="_Toc259648"/>
      <w:r>
        <w:t>Planaufträge</w:t>
      </w:r>
      <w:bookmarkEnd w:id="7"/>
    </w:p>
    <w:p w:rsidR="007A0916" w:rsidRDefault="007A0916" w:rsidP="00EE6E1D">
      <w:pPr>
        <w:pStyle w:val="BPnormalerText"/>
        <w:ind w:left="720"/>
      </w:pPr>
      <w:r>
        <w:t>Die Ermittlung der Daten für Planaufträge erfolgt derzeit, indem der Planauftrag virtuell in einen Fertigungsauftrag umgesetzt wird. Alle Daten werden demzufolge aufgrund eines möglichen Fertigungsauftrages fortgeschrieben.</w:t>
      </w:r>
    </w:p>
    <w:p w:rsidR="007A0916" w:rsidRDefault="007A0916" w:rsidP="00EE6E1D">
      <w:pPr>
        <w:pStyle w:val="BPnormalerText"/>
        <w:ind w:left="720"/>
      </w:pPr>
      <w:r>
        <w:t>Diese Vorgehensweise wurde gewählt, um auch Nullzeiten aufgrund fehlender Stammdaten aufnehmen zu können. Liegen im Arbeitsplan-Vorgang keine Vorgebewerte vor, können die Daten nicht über die Planauftragsdaten ermittelt werden.</w:t>
      </w:r>
    </w:p>
    <w:p w:rsidR="007A0916" w:rsidRDefault="007A0916" w:rsidP="00EE6E1D">
      <w:pPr>
        <w:pStyle w:val="BPnormalerText"/>
        <w:ind w:left="720"/>
      </w:pPr>
    </w:p>
    <w:p w:rsidR="007A0916" w:rsidRDefault="007A0916" w:rsidP="00EE6E1D">
      <w:pPr>
        <w:pStyle w:val="BPnormalerText"/>
        <w:ind w:left="720"/>
      </w:pPr>
      <w:r>
        <w:rPr>
          <w:noProof/>
          <w:lang w:eastAsia="de-DE"/>
        </w:rPr>
        <w:drawing>
          <wp:inline distT="0" distB="0" distL="0" distR="0" wp14:anchorId="7D1ED760" wp14:editId="233984AC">
            <wp:extent cx="231775" cy="231775"/>
            <wp:effectExtent l="19050" t="0" r="0" b="0"/>
            <wp:docPr id="12"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r>
        <w:tab/>
        <w:t xml:space="preserve">Die Planaufträge werden beim Sichern des Planauftrages im </w:t>
      </w:r>
      <w:proofErr w:type="spellStart"/>
      <w:r>
        <w:t>Verbucher</w:t>
      </w:r>
      <w:proofErr w:type="spellEnd"/>
      <w:r>
        <w:t xml:space="preserve"> virtuell in Fertigungsaufträge umgesetzt. Es ist nicht absehbar, </w:t>
      </w:r>
      <w:r w:rsidR="00C97B19">
        <w:t xml:space="preserve">welche Systemeinstellungen dazu führen können, dass bei der virtuellen Umsetzung z. B. ein </w:t>
      </w:r>
      <w:proofErr w:type="spellStart"/>
      <w:r w:rsidR="00C97B19">
        <w:t>Dynpro</w:t>
      </w:r>
      <w:proofErr w:type="spellEnd"/>
      <w:r w:rsidR="00C97B19">
        <w:t xml:space="preserve"> (beim Einsatz von CAP- Verfahren ist dies der Fall) prozessiert wird. Ist dass der Fall, bricht die Verbuchung des Planauftrags ab.</w:t>
      </w:r>
    </w:p>
    <w:p w:rsidR="00E0665A" w:rsidRDefault="00E0665A" w:rsidP="00E0665A">
      <w:pPr>
        <w:pStyle w:val="BPnormalerText"/>
      </w:pPr>
    </w:p>
    <w:p w:rsidR="00E0665A" w:rsidRPr="003B5666" w:rsidRDefault="00E0665A" w:rsidP="00E0665A">
      <w:pPr>
        <w:pStyle w:val="BPUeberschrift2"/>
      </w:pPr>
      <w:bookmarkStart w:id="8" w:name="_Toc530651051"/>
      <w:bookmarkStart w:id="9" w:name="_Toc259649"/>
      <w:r w:rsidRPr="003B5666">
        <w:t>Lösungs</w:t>
      </w:r>
      <w:r w:rsidR="00CB33A3">
        <w:t>ansatz</w:t>
      </w:r>
      <w:r w:rsidRPr="003B5666">
        <w:t>:</w:t>
      </w:r>
      <w:bookmarkEnd w:id="8"/>
      <w:bookmarkEnd w:id="9"/>
    </w:p>
    <w:p w:rsidR="00E0665A" w:rsidRDefault="00E0665A" w:rsidP="00E0665A">
      <w:pPr>
        <w:pStyle w:val="BPnormalerText"/>
      </w:pPr>
    </w:p>
    <w:p w:rsidR="00E55DFE" w:rsidRDefault="00FC28A6" w:rsidP="00FC28A6">
      <w:pPr>
        <w:pStyle w:val="BPnormalerText"/>
      </w:pPr>
      <w:r>
        <w:t xml:space="preserve">In den Bereichseinstellungen kann die Übernahme der Nullzeiten aktiviert werden. </w:t>
      </w:r>
      <w:r w:rsidR="00E55DFE">
        <w:t xml:space="preserve">Die Einstellungsmöglichkeit wird von der aktuellen Checkbox in eine </w:t>
      </w:r>
      <w:proofErr w:type="spellStart"/>
      <w:r w:rsidR="00E55DFE">
        <w:t>Listbox</w:t>
      </w:r>
      <w:proofErr w:type="spellEnd"/>
      <w:r w:rsidR="00E55DFE">
        <w:t xml:space="preserve"> geändert.</w:t>
      </w:r>
    </w:p>
    <w:p w:rsidR="00E55DFE" w:rsidRDefault="00E55DFE" w:rsidP="00FC28A6">
      <w:pPr>
        <w:pStyle w:val="BPnormalerText"/>
      </w:pPr>
      <w:r>
        <w:t xml:space="preserve">Die </w:t>
      </w:r>
      <w:proofErr w:type="spellStart"/>
      <w:r>
        <w:t>Listbox</w:t>
      </w:r>
      <w:proofErr w:type="spellEnd"/>
      <w:r>
        <w:t xml:space="preserve"> erhält der Möglichkeiten:</w:t>
      </w:r>
    </w:p>
    <w:p w:rsidR="00E55DFE" w:rsidRDefault="00E55DFE" w:rsidP="00E55DFE">
      <w:pPr>
        <w:pStyle w:val="BPnormalerText"/>
        <w:numPr>
          <w:ilvl w:val="0"/>
          <w:numId w:val="23"/>
        </w:numPr>
      </w:pPr>
      <w:r>
        <w:t>‚_‘</w:t>
      </w:r>
      <w:r>
        <w:tab/>
        <w:t>keine Übernahme von Nullzeiten</w:t>
      </w:r>
    </w:p>
    <w:p w:rsidR="00E55DFE" w:rsidRDefault="00E55DFE" w:rsidP="00E55DFE">
      <w:pPr>
        <w:pStyle w:val="BPnormalerText"/>
        <w:ind w:left="1440"/>
      </w:pPr>
      <w:r>
        <w:t xml:space="preserve">Datenermittlung basierend auf </w:t>
      </w:r>
      <w:proofErr w:type="spellStart"/>
      <w:r>
        <w:t>Kapazitätsbedarseinzelsätzen</w:t>
      </w:r>
      <w:proofErr w:type="spellEnd"/>
      <w:r>
        <w:t xml:space="preserve"> Tabelle KBED.</w:t>
      </w:r>
    </w:p>
    <w:p w:rsidR="00C97B19" w:rsidRDefault="00C97B19" w:rsidP="00C97B19">
      <w:pPr>
        <w:pStyle w:val="BPnormalerText"/>
        <w:ind w:left="1440"/>
      </w:pPr>
      <w:r>
        <w:t>Keine virtuelle Umsetzung der Planaufträge in Fertigungsaufträge, Ermittlung der Daten aus den Planauftragsdaten.</w:t>
      </w:r>
    </w:p>
    <w:p w:rsidR="00E55DFE" w:rsidRDefault="00E55DFE" w:rsidP="00605CB9">
      <w:pPr>
        <w:pStyle w:val="BPnormalerText"/>
        <w:numPr>
          <w:ilvl w:val="0"/>
          <w:numId w:val="23"/>
        </w:numPr>
      </w:pPr>
      <w:r>
        <w:t>‚X‘</w:t>
      </w:r>
      <w:r>
        <w:tab/>
        <w:t xml:space="preserve">Übernahme der Nullzeiten aus </w:t>
      </w:r>
      <w:proofErr w:type="spellStart"/>
      <w:r>
        <w:t>Kapazitätbedarfseinzelsätzen</w:t>
      </w:r>
      <w:proofErr w:type="spellEnd"/>
    </w:p>
    <w:p w:rsidR="00E55DFE" w:rsidRDefault="00E55DFE" w:rsidP="00E55DFE">
      <w:pPr>
        <w:pStyle w:val="BPnormalerText"/>
        <w:ind w:left="720" w:firstLine="720"/>
      </w:pPr>
      <w:r>
        <w:t xml:space="preserve">Datenermittlung basierend auf </w:t>
      </w:r>
      <w:proofErr w:type="spellStart"/>
      <w:r>
        <w:t>Kapazitätsbedarseinzelsätzen</w:t>
      </w:r>
      <w:proofErr w:type="spellEnd"/>
      <w:r>
        <w:t xml:space="preserve"> Tabelle KBED.</w:t>
      </w:r>
    </w:p>
    <w:p w:rsidR="00C97B19" w:rsidRDefault="00C97B19" w:rsidP="00C97B19">
      <w:pPr>
        <w:pStyle w:val="BPnormalerText"/>
        <w:ind w:left="1440"/>
      </w:pPr>
      <w:r>
        <w:t>Keine virtuelle Umsetzung der Planaufträge in Fertigungsaufträge, Ermittlung der Daten aus den Planauftragsdaten.</w:t>
      </w:r>
    </w:p>
    <w:p w:rsidR="00E55DFE" w:rsidRDefault="00E55DFE" w:rsidP="00605CB9">
      <w:pPr>
        <w:pStyle w:val="BPnormalerText"/>
        <w:numPr>
          <w:ilvl w:val="0"/>
          <w:numId w:val="23"/>
        </w:numPr>
      </w:pPr>
      <w:r>
        <w:t>‚L‘</w:t>
      </w:r>
      <w:r>
        <w:tab/>
        <w:t>Übernahme der Nullzeiten aus Vorgängen und Kapazitätsbedarfseinzelsätzen</w:t>
      </w:r>
    </w:p>
    <w:p w:rsidR="00E55DFE" w:rsidRDefault="00E55DFE" w:rsidP="00E55DFE">
      <w:pPr>
        <w:pStyle w:val="BPnormalerText"/>
        <w:ind w:left="1440"/>
      </w:pPr>
      <w:r>
        <w:t xml:space="preserve">Datenermittlung basieren auf </w:t>
      </w:r>
      <w:proofErr w:type="spellStart"/>
      <w:r>
        <w:t>Vorgängsdaten</w:t>
      </w:r>
      <w:proofErr w:type="spellEnd"/>
      <w:r>
        <w:t xml:space="preserve"> (lange Laufzeit)</w:t>
      </w:r>
      <w:r w:rsidR="00C97B19">
        <w:t xml:space="preserve">. Für die Ermittlung der Planauftragsdaten, wird der Planauftrag virtuell in einen Fertigungsauftrag umgesetzt. </w:t>
      </w:r>
    </w:p>
    <w:p w:rsidR="00E55DFE" w:rsidRDefault="00E55DFE" w:rsidP="00FC28A6">
      <w:pPr>
        <w:pStyle w:val="BPnormalerText"/>
      </w:pPr>
    </w:p>
    <w:p w:rsidR="00E55DFE" w:rsidRPr="005E20BD" w:rsidRDefault="00E55DFE" w:rsidP="00FC28A6">
      <w:pPr>
        <w:pStyle w:val="BPnormalerText"/>
        <w:rPr>
          <w:b/>
        </w:rPr>
      </w:pPr>
      <w:r w:rsidRPr="005E20BD">
        <w:rPr>
          <w:b/>
        </w:rPr>
        <w:t>Ablauf der Datenermittlung</w:t>
      </w:r>
      <w:r w:rsidR="005E06D0">
        <w:rPr>
          <w:b/>
        </w:rPr>
        <w:t xml:space="preserve"> in Release 19.0</w:t>
      </w:r>
      <w:r w:rsidRPr="005E20BD">
        <w:rPr>
          <w:b/>
        </w:rPr>
        <w:t>:</w:t>
      </w:r>
    </w:p>
    <w:p w:rsidR="005E20BD" w:rsidRDefault="00E55DFE" w:rsidP="00FC28A6">
      <w:pPr>
        <w:pStyle w:val="BPnormalerText"/>
      </w:pPr>
      <w:r>
        <w:t>Das Feld „Nullzeit</w:t>
      </w:r>
      <w:r w:rsidR="005E20BD">
        <w:t>en übernehmen“ wird zunächst für alle selektierten Arbeitsplätze ermittelt.</w:t>
      </w:r>
    </w:p>
    <w:p w:rsidR="005E20BD" w:rsidRDefault="005E20BD" w:rsidP="00FC28A6">
      <w:pPr>
        <w:pStyle w:val="BPnormalerText"/>
      </w:pPr>
      <w:r>
        <w:t>Ist für einen Eintrag die Option ‚L‘ ausgewählt, läuft die Datenermittlung über die Analyse der Vorgangsdaten.</w:t>
      </w:r>
    </w:p>
    <w:p w:rsidR="005E06D0" w:rsidRDefault="005E20BD" w:rsidP="005E06D0">
      <w:pPr>
        <w:pStyle w:val="BPnormalerText"/>
      </w:pPr>
      <w:r>
        <w:t xml:space="preserve">Ist für keinen Eintrag die Option ‚L‘ ausgewählt, </w:t>
      </w:r>
      <w:r w:rsidR="005E06D0">
        <w:t>kann die Selektion über die Kapazitätsbedarfseinzelsätze erfolgen. In der zugrundeliegenden Tabelle (KBED) werden nur Vorgänge gespeichert, die über einen Kapazitätsbedarf verfügen.</w:t>
      </w:r>
    </w:p>
    <w:p w:rsidR="005E06D0" w:rsidRDefault="005E06D0" w:rsidP="005E06D0">
      <w:pPr>
        <w:pStyle w:val="BPnormalerText"/>
      </w:pPr>
    </w:p>
    <w:p w:rsidR="005E06D0" w:rsidRPr="005E20BD" w:rsidRDefault="005E06D0" w:rsidP="005E06D0">
      <w:pPr>
        <w:pStyle w:val="BPnormalerText"/>
        <w:rPr>
          <w:b/>
        </w:rPr>
      </w:pPr>
      <w:r w:rsidRPr="005E20BD">
        <w:rPr>
          <w:b/>
        </w:rPr>
        <w:t>Ablauf der Datenermittlung</w:t>
      </w:r>
      <w:r>
        <w:rPr>
          <w:b/>
        </w:rPr>
        <w:t xml:space="preserve"> in Release 18.0</w:t>
      </w:r>
      <w:r w:rsidRPr="005E20BD">
        <w:rPr>
          <w:b/>
        </w:rPr>
        <w:t>:</w:t>
      </w:r>
    </w:p>
    <w:p w:rsidR="005E06D0" w:rsidRDefault="005E06D0" w:rsidP="005E06D0">
      <w:pPr>
        <w:pStyle w:val="BPnormalerText"/>
      </w:pPr>
      <w:r>
        <w:t>Da in Release 18.0 die Datenermittlung unabhängig der Einstellungen im Feld „</w:t>
      </w:r>
      <w:proofErr w:type="spellStart"/>
      <w:r>
        <w:t>Nullzeit</w:t>
      </w:r>
      <w:proofErr w:type="spellEnd"/>
      <w:r>
        <w:t xml:space="preserve"> übernehmen“ über die Vorgangsdaten erfolgt, kann folgende Änderung als Last-</w:t>
      </w:r>
      <w:proofErr w:type="spellStart"/>
      <w:r>
        <w:t>Inst</w:t>
      </w:r>
      <w:proofErr w:type="spellEnd"/>
      <w:r>
        <w:t>. umgesetzt werden.</w:t>
      </w:r>
    </w:p>
    <w:p w:rsidR="005E06D0" w:rsidRDefault="005E06D0" w:rsidP="005E06D0">
      <w:pPr>
        <w:pStyle w:val="BPnormalerText"/>
      </w:pPr>
      <w:r>
        <w:t>Ist das Feld „</w:t>
      </w:r>
      <w:proofErr w:type="spellStart"/>
      <w:r>
        <w:t>Nullzeit</w:t>
      </w:r>
      <w:proofErr w:type="spellEnd"/>
      <w:r>
        <w:t xml:space="preserve"> übernehmen“ nicht aktiviert, kann die Datenermittlung über die Tabelle KBED erfolgen.</w:t>
      </w:r>
    </w:p>
    <w:p w:rsidR="005E20BD" w:rsidRDefault="005E20BD" w:rsidP="00FC28A6">
      <w:pPr>
        <w:pStyle w:val="BPnormalerText"/>
      </w:pPr>
    </w:p>
    <w:p w:rsidR="005E06D0" w:rsidRDefault="005E06D0" w:rsidP="00FC28A6">
      <w:pPr>
        <w:pStyle w:val="BPnormalerText"/>
      </w:pPr>
      <w:r>
        <w:rPr>
          <w:noProof/>
          <w:lang w:eastAsia="de-DE"/>
        </w:rPr>
        <w:drawing>
          <wp:inline distT="0" distB="0" distL="0" distR="0" wp14:anchorId="44D381E6" wp14:editId="012B2807">
            <wp:extent cx="231775" cy="231775"/>
            <wp:effectExtent l="19050" t="0" r="0" b="0"/>
            <wp:docPr id="8"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r>
        <w:t xml:space="preserve"> Die im Konzept „</w:t>
      </w:r>
      <w:proofErr w:type="spellStart"/>
      <w:r>
        <w:t>Daten_laden</w:t>
      </w:r>
      <w:proofErr w:type="spellEnd"/>
      <w:r>
        <w:t>“ beschrieben Funktionen sind obsolet und werden zurückgebaut. Die Änderung ist im Bug 9874 beschrieben.</w:t>
      </w:r>
    </w:p>
    <w:p w:rsidR="00CB33A3" w:rsidRDefault="00CB33A3" w:rsidP="00E0665A">
      <w:pPr>
        <w:pStyle w:val="BPnormalerText"/>
      </w:pPr>
    </w:p>
    <w:p w:rsidR="00E56EDA" w:rsidRDefault="00E56EDA" w:rsidP="00E0665A">
      <w:pPr>
        <w:pStyle w:val="BPnormalerText"/>
      </w:pPr>
      <w:r>
        <w:rPr>
          <w:noProof/>
          <w:lang w:eastAsia="de-DE"/>
        </w:rPr>
        <w:drawing>
          <wp:inline distT="0" distB="0" distL="0" distR="0" wp14:anchorId="573FDA8D" wp14:editId="47B02B7D">
            <wp:extent cx="231775" cy="231775"/>
            <wp:effectExtent l="19050" t="0" r="0" b="0"/>
            <wp:docPr id="10"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0"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r>
        <w:tab/>
        <w:t xml:space="preserve">Bei Umstellung von Release 18.0 auf Release 19.0 ist zu bedenken, dass sich </w:t>
      </w:r>
      <w:proofErr w:type="gramStart"/>
      <w:r>
        <w:t>bei bleibender</w:t>
      </w:r>
      <w:proofErr w:type="gramEnd"/>
      <w:r>
        <w:t xml:space="preserve"> Einstellung die Datenermittlung ändert. Ist im Feld ein „X“ für die Übernahme von Nullzeiten angegeben so werden ab Release 19.0 die Nullzeiten lediglich aus den Kapazitätsbedarfseinzelsätzen ermittelt.</w:t>
      </w:r>
    </w:p>
    <w:p w:rsidR="00E56EDA" w:rsidRDefault="00E56EDA" w:rsidP="00E0665A">
      <w:pPr>
        <w:pStyle w:val="BPnormalerText"/>
      </w:pPr>
    </w:p>
    <w:p w:rsidR="00E56EDA" w:rsidRDefault="00E56EDA" w:rsidP="00E0665A">
      <w:pPr>
        <w:pStyle w:val="BPnormalerText"/>
      </w:pPr>
      <w:r>
        <w:t xml:space="preserve">Arbeitsplatzwechsel von Planauftragsvorgängen mit </w:t>
      </w:r>
      <w:proofErr w:type="spellStart"/>
      <w:r>
        <w:t>Nullzeit</w:t>
      </w:r>
      <w:proofErr w:type="spellEnd"/>
    </w:p>
    <w:p w:rsidR="00E56EDA" w:rsidRDefault="00E56EDA" w:rsidP="00E0665A">
      <w:pPr>
        <w:pStyle w:val="BPnormalerText"/>
      </w:pPr>
      <w:r>
        <w:t>Es ist im Release 18.0 und 19.0 dafür zu sorgen, dass der Arbeitsplatzwechsel im DCP nur erfolgen kann, wenn dem Vorgang ein entsprechender Kapazitätsbedarfseinzelsatz zugrunde liegt.</w:t>
      </w:r>
    </w:p>
    <w:bookmarkEnd w:id="0"/>
    <w:sectPr w:rsidR="00E56EDA" w:rsidSect="00446A3B">
      <w:headerReference w:type="even" r:id="rId13"/>
      <w:headerReference w:type="default" r:id="rId14"/>
      <w:footerReference w:type="even" r:id="rId15"/>
      <w:footerReference w:type="default" r:id="rId16"/>
      <w:headerReference w:type="first" r:id="rId17"/>
      <w:footerReference w:type="first" r:id="rId18"/>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692D" w:rsidRDefault="0025692D" w:rsidP="00740357">
      <w:pPr>
        <w:pStyle w:val="BPnormalerTextChar"/>
      </w:pPr>
      <w:r>
        <w:separator/>
      </w:r>
    </w:p>
  </w:endnote>
  <w:endnote w:type="continuationSeparator" w:id="0">
    <w:p w:rsidR="0025692D" w:rsidRDefault="0025692D"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utura Std Book">
    <w:altName w:val="Century Gothic"/>
    <w:panose1 w:val="00000000000000000000"/>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Pr="00F24EE6" w:rsidRDefault="00DD6A9D"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022C24">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Pr="00D46A8E" w:rsidRDefault="00DD6A9D"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G</w:t>
    </w:r>
    <w:r w:rsidR="005D3493">
      <w:rPr>
        <w:b w:val="0"/>
        <w:i w:val="0"/>
        <w:color w:val="808080" w:themeColor="background1" w:themeShade="80"/>
        <w:sz w:val="18"/>
        <w:szCs w:val="18"/>
      </w:rPr>
      <w:t xml:space="preserve">ültig ab </w:t>
    </w:r>
    <w:r w:rsidR="008C0B65">
      <w:rPr>
        <w:b w:val="0"/>
        <w:i w:val="0"/>
        <w:color w:val="808080" w:themeColor="background1" w:themeShade="80"/>
        <w:sz w:val="18"/>
        <w:szCs w:val="18"/>
      </w:rPr>
      <w:t>08.</w:t>
    </w:r>
    <w:r w:rsidR="005D3493">
      <w:rPr>
        <w:b w:val="0"/>
        <w:i w:val="0"/>
        <w:color w:val="808080" w:themeColor="background1" w:themeShade="80"/>
        <w:sz w:val="18"/>
        <w:szCs w:val="18"/>
      </w:rPr>
      <w:t xml:space="preserve"> </w:t>
    </w:r>
    <w:r w:rsidR="008C0B65">
      <w:rPr>
        <w:b w:val="0"/>
        <w:i w:val="0"/>
        <w:color w:val="808080" w:themeColor="background1" w:themeShade="80"/>
        <w:sz w:val="18"/>
        <w:szCs w:val="18"/>
      </w:rPr>
      <w:t>Januar</w:t>
    </w:r>
    <w:r w:rsidR="005D3493">
      <w:rPr>
        <w:b w:val="0"/>
        <w:i w:val="0"/>
        <w:color w:val="808080" w:themeColor="background1" w:themeShade="80"/>
        <w:sz w:val="18"/>
        <w:szCs w:val="18"/>
      </w:rPr>
      <w:t xml:space="preserve"> </w:t>
    </w:r>
    <w:r w:rsidR="008961B4">
      <w:rPr>
        <w:b w:val="0"/>
        <w:i w:val="0"/>
        <w:color w:val="808080" w:themeColor="background1" w:themeShade="80"/>
        <w:sz w:val="18"/>
        <w:szCs w:val="18"/>
      </w:rPr>
      <w:t>201</w:t>
    </w:r>
    <w:r w:rsidR="008C0B65">
      <w:rPr>
        <w:b w:val="0"/>
        <w:i w:val="0"/>
        <w:color w:val="808080" w:themeColor="background1" w:themeShade="80"/>
        <w:sz w:val="18"/>
        <w:szCs w:val="18"/>
      </w:rPr>
      <w:t>9</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FA0A8D">
      <w:rPr>
        <w:b w:val="0"/>
        <w:i w:val="0"/>
        <w:noProof/>
        <w:color w:val="808080" w:themeColor="background1" w:themeShade="80"/>
        <w:sz w:val="18"/>
        <w:szCs w:val="18"/>
      </w:rPr>
      <w:t>6</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Default="00E952BB" w:rsidP="006D0EF7">
    <w:r>
      <w:rPr>
        <w:noProof/>
        <w:lang w:eastAsia="de-DE"/>
      </w:rPr>
      <w:drawing>
        <wp:anchor distT="0" distB="0" distL="114300" distR="114300" simplePos="0" relativeHeight="251675648" behindDoc="0" locked="0" layoutInCell="1" allowOverlap="1">
          <wp:simplePos x="0" y="0"/>
          <wp:positionH relativeFrom="page">
            <wp:posOffset>3409950</wp:posOffset>
          </wp:positionH>
          <wp:positionV relativeFrom="paragraph">
            <wp:posOffset>243205</wp:posOffset>
          </wp:positionV>
          <wp:extent cx="1364400" cy="270000"/>
          <wp:effectExtent l="0" t="0" r="762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4400" cy="270000"/>
                  </a:xfrm>
                  <a:prstGeom prst="rect">
                    <a:avLst/>
                  </a:prstGeom>
                </pic:spPr>
              </pic:pic>
            </a:graphicData>
          </a:graphic>
          <wp14:sizeRelH relativeFrom="margin">
            <wp14:pctWidth>0</wp14:pctWidth>
          </wp14:sizeRelH>
          <wp14:sizeRelV relativeFrom="margin">
            <wp14:pctHeight>0</wp14:pctHeight>
          </wp14:sizeRelV>
        </wp:anchor>
      </w:drawing>
    </w:r>
    <w:r w:rsidR="0018076E">
      <w:rPr>
        <w:noProof/>
        <w:lang w:eastAsia="de-DE"/>
      </w:rPr>
      <w:drawing>
        <wp:anchor distT="0" distB="0" distL="114300" distR="114300" simplePos="0" relativeHeight="251660288" behindDoc="1" locked="0" layoutInCell="1" allowOverlap="1" wp14:anchorId="65569BE5" wp14:editId="46A78FD6">
          <wp:simplePos x="0" y="0"/>
          <wp:positionH relativeFrom="column">
            <wp:posOffset>1023620</wp:posOffset>
          </wp:positionH>
          <wp:positionV relativeFrom="paragraph">
            <wp:posOffset>242570</wp:posOffset>
          </wp:positionV>
          <wp:extent cx="1255395" cy="268605"/>
          <wp:effectExtent l="0" t="0" r="1905" b="0"/>
          <wp:wrapTight wrapText="bothSides">
            <wp:wrapPolygon edited="0">
              <wp:start x="0" y="0"/>
              <wp:lineTo x="0" y="19915"/>
              <wp:lineTo x="21305" y="19915"/>
              <wp:lineTo x="21305"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268605"/>
                  </a:xfrm>
                  <a:prstGeom prst="rect">
                    <a:avLst/>
                  </a:prstGeom>
                  <a:noFill/>
                </pic:spPr>
              </pic:pic>
            </a:graphicData>
          </a:graphic>
          <wp14:sizeRelH relativeFrom="page">
            <wp14:pctWidth>0</wp14:pctWidth>
          </wp14:sizeRelH>
          <wp14:sizeRelV relativeFrom="page">
            <wp14:pctHeight>0</wp14:pctHeight>
          </wp14:sizeRelV>
        </wp:anchor>
      </w:drawing>
    </w:r>
    <w:r w:rsidR="007E691C"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7474C9E5" wp14:editId="3F723F04">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rsidR="00DD6A9D" w:rsidRPr="004875AF" w:rsidRDefault="006D0DF9"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00DD6A9D" w:rsidRPr="004875AF">
                            <w:rPr>
                              <w:rFonts w:ascii="Futura Std Book" w:hAnsi="Futura Std Book" w:cs="Arial"/>
                              <w:color w:val="808080" w:themeColor="background1" w:themeShade="80"/>
                              <w:sz w:val="14"/>
                              <w:szCs w:val="14"/>
                            </w:rPr>
                            <w:t xml:space="preserve"> mbH</w:t>
                          </w:r>
                        </w:p>
                        <w:p w:rsidR="00177881" w:rsidRPr="004875AF" w:rsidRDefault="001778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74C9E5"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stroked="f">
              <v:textbox>
                <w:txbxContent>
                  <w:p w:rsidR="00DD6A9D" w:rsidRPr="004875AF" w:rsidRDefault="006D0DF9"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00DD6A9D" w:rsidRPr="004875AF">
                      <w:rPr>
                        <w:rFonts w:ascii="Futura Std Book" w:hAnsi="Futura Std Book" w:cs="Arial"/>
                        <w:color w:val="808080" w:themeColor="background1" w:themeShade="80"/>
                        <w:sz w:val="14"/>
                        <w:szCs w:val="14"/>
                      </w:rPr>
                      <w:t xml:space="preserve"> mbH</w:t>
                    </w:r>
                  </w:p>
                  <w:p w:rsidR="00177881" w:rsidRPr="004875AF" w:rsidRDefault="00177881"/>
                </w:txbxContent>
              </v:textbox>
            </v:shape>
          </w:pict>
        </mc:Fallback>
      </mc:AlternateContent>
    </w:r>
    <w:r w:rsidR="007E691C"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4BA192A9" wp14:editId="10843297">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rsidR="00177881" w:rsidRPr="004875AF" w:rsidRDefault="00177881"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www.gibmbh.de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A192A9" id="_x0000_s1027" type="#_x0000_t202"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stroked="f">
              <v:textbox>
                <w:txbxContent>
                  <w:p w:rsidR="00177881" w:rsidRPr="004875AF" w:rsidRDefault="00177881"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www.gibmbh.de</w:t>
                    </w:r>
                  </w:p>
                </w:txbxContent>
              </v:textbox>
            </v:shape>
          </w:pict>
        </mc:Fallback>
      </mc:AlternateContent>
    </w:r>
    <w:r w:rsidR="00DD6A9D">
      <w:rPr>
        <w:noProof/>
        <w:lang w:eastAsia="de-DE"/>
      </w:rPr>
      <w:drawing>
        <wp:anchor distT="0" distB="0" distL="114300" distR="114300" simplePos="0" relativeHeight="251654144" behindDoc="1" locked="0" layoutInCell="1" allowOverlap="1" wp14:anchorId="1A06B9AA" wp14:editId="0F0D672F">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692D" w:rsidRDefault="0025692D" w:rsidP="00740357">
      <w:pPr>
        <w:pStyle w:val="BPnormalerTextChar"/>
      </w:pPr>
      <w:r>
        <w:separator/>
      </w:r>
    </w:p>
  </w:footnote>
  <w:footnote w:type="continuationSeparator" w:id="0">
    <w:p w:rsidR="0025692D" w:rsidRDefault="0025692D"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Pr="00F1199E" w:rsidRDefault="00DD6A9D" w:rsidP="00F1199E">
    <w:pPr>
      <w:pStyle w:val="Kopfzeile"/>
      <w:tabs>
        <w:tab w:val="left" w:pos="7797"/>
      </w:tabs>
    </w:pPr>
    <w:r>
      <w:rPr>
        <w:noProof/>
        <w:lang w:eastAsia="de-DE"/>
      </w:rPr>
      <w:drawing>
        <wp:inline distT="0" distB="0" distL="0" distR="0" wp14:anchorId="23C28FDB" wp14:editId="7A1593AE">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DD6A9D" w:rsidRPr="00F24EE6" w:rsidTr="00F24EE6">
      <w:tc>
        <w:tcPr>
          <w:tcW w:w="7796" w:type="dxa"/>
        </w:tcPr>
        <w:p w:rsidR="00DD6A9D" w:rsidRPr="00F24EE6" w:rsidRDefault="00DD6A9D" w:rsidP="00192735">
          <w:pPr>
            <w:pStyle w:val="Kopfzeile"/>
            <w:jc w:val="right"/>
            <w:rPr>
              <w:color w:val="808080" w:themeColor="background1" w:themeShade="80"/>
            </w:rPr>
          </w:pPr>
        </w:p>
      </w:tc>
    </w:tr>
  </w:tbl>
  <w:p w:rsidR="00DD6A9D" w:rsidRPr="00F24EE6" w:rsidRDefault="00DD6A9D"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50AA" w:rsidRPr="008961B4" w:rsidRDefault="008C0B65" w:rsidP="00895955">
    <w:pPr>
      <w:pStyle w:val="Kopfzeile"/>
      <w:tabs>
        <w:tab w:val="clear" w:pos="9356"/>
        <w:tab w:val="right" w:pos="9639"/>
      </w:tabs>
      <w:rPr>
        <w:b w:val="0"/>
        <w:i w:val="0"/>
        <w:color w:val="808080" w:themeColor="background1" w:themeShade="80"/>
        <w:sz w:val="18"/>
        <w:szCs w:val="18"/>
      </w:rPr>
    </w:pPr>
    <w:r>
      <w:rPr>
        <w:b w:val="0"/>
        <w:i w:val="0"/>
        <w:color w:val="808080" w:themeColor="background1" w:themeShade="80"/>
        <w:sz w:val="18"/>
        <w:szCs w:val="18"/>
      </w:rPr>
      <w:t>Konzept Datenfortschreibung DCP</w:t>
    </w:r>
    <w:r w:rsidR="00BE50AA">
      <w:tab/>
    </w:r>
    <w:r w:rsidR="00BE50AA" w:rsidRPr="00042E3C">
      <w:rPr>
        <w:noProof/>
        <w:color w:val="808080" w:themeColor="background1" w:themeShade="80"/>
        <w:lang w:eastAsia="de-DE"/>
      </w:rPr>
      <w:drawing>
        <wp:inline distT="0" distB="0" distL="0" distR="0" wp14:anchorId="327D6C00" wp14:editId="10A5105F">
          <wp:extent cx="984250" cy="420370"/>
          <wp:effectExtent l="0" t="0" r="635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250" cy="420370"/>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080"/>
    </w:tblGrid>
    <w:tr w:rsidR="00BE50AA" w:rsidTr="00895955">
      <w:tc>
        <w:tcPr>
          <w:tcW w:w="8080" w:type="dxa"/>
        </w:tcPr>
        <w:p w:rsidR="00BE50AA" w:rsidRDefault="00BE50AA" w:rsidP="00BE50AA">
          <w:pPr>
            <w:pStyle w:val="Kopfzeile"/>
            <w:jc w:val="right"/>
          </w:pPr>
        </w:p>
      </w:tc>
    </w:tr>
  </w:tbl>
  <w:p w:rsidR="00BE50AA" w:rsidRPr="00BE50AA" w:rsidRDefault="00BE50AA"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Default="00DD6A9D" w:rsidP="00177881">
    <w:pPr>
      <w:pStyle w:val="Kopfzeile"/>
      <w:tabs>
        <w:tab w:val="clear" w:pos="9356"/>
        <w:tab w:val="right" w:pos="9072"/>
      </w:tabs>
    </w:pPr>
    <w:r>
      <w:rPr>
        <w:noProof/>
        <w:lang w:eastAsia="de-DE"/>
      </w:rPr>
      <w:drawing>
        <wp:anchor distT="0" distB="0" distL="114300" distR="114300" simplePos="0" relativeHeight="251648000" behindDoc="1" locked="0" layoutInCell="1" allowOverlap="1" wp14:anchorId="1ACD1678" wp14:editId="48E3C618">
          <wp:simplePos x="0" y="0"/>
          <wp:positionH relativeFrom="column">
            <wp:posOffset>4262103</wp:posOffset>
          </wp:positionH>
          <wp:positionV relativeFrom="paragraph">
            <wp:posOffset>-139700</wp:posOffset>
          </wp:positionV>
          <wp:extent cx="1827236" cy="780885"/>
          <wp:effectExtent l="0" t="0" r="1905" b="635"/>
          <wp:wrapNone/>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27236" cy="780885"/>
                  </a:xfrm>
                  <a:prstGeom prst="rect">
                    <a:avLst/>
                  </a:prstGeom>
                </pic:spPr>
              </pic:pic>
            </a:graphicData>
          </a:graphic>
          <wp14:sizeRelH relativeFrom="margin">
            <wp14:pctWidth>0</wp14:pctWidth>
          </wp14:sizeRelH>
          <wp14:sizeRelV relativeFrom="margin">
            <wp14:pctHeight>0</wp14:pctHeight>
          </wp14:sizeRelV>
        </wp:anchor>
      </w:drawing>
    </w:r>
    <w:r w:rsidR="00D42E1C">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2696"/>
    <w:multiLevelType w:val="hybridMultilevel"/>
    <w:tmpl w:val="80B87968"/>
    <w:lvl w:ilvl="0" w:tplc="B00E7AAC">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07AF677A"/>
    <w:multiLevelType w:val="hybridMultilevel"/>
    <w:tmpl w:val="1A9C27E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5"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A2A050E"/>
    <w:multiLevelType w:val="hybridMultilevel"/>
    <w:tmpl w:val="17568698"/>
    <w:lvl w:ilvl="0" w:tplc="0828593E">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24E39D4"/>
    <w:multiLevelType w:val="hybridMultilevel"/>
    <w:tmpl w:val="66180846"/>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1AE0CB3"/>
    <w:multiLevelType w:val="multilevel"/>
    <w:tmpl w:val="0EF8BFB4"/>
    <w:lvl w:ilvl="0">
      <w:start w:val="1"/>
      <w:numFmt w:val="decimal"/>
      <w:pStyle w:val="BPNummerierung"/>
      <w:lvlText w:val="%1."/>
      <w:lvlJc w:val="left"/>
      <w:pPr>
        <w:tabs>
          <w:tab w:val="num" w:pos="1070"/>
        </w:tabs>
        <w:ind w:left="107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D7F529C"/>
    <w:multiLevelType w:val="hybridMultilevel"/>
    <w:tmpl w:val="371223B2"/>
    <w:lvl w:ilvl="0" w:tplc="D7A8E524">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4"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5"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7"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8" w15:restartNumberingAfterBreak="0">
    <w:nsid w:val="6E771C10"/>
    <w:multiLevelType w:val="hybridMultilevel"/>
    <w:tmpl w:val="C82A9956"/>
    <w:lvl w:ilvl="0" w:tplc="C5B656C8">
      <w:start w:val="1"/>
      <w:numFmt w:val="decimal"/>
      <w:lvlText w:val="%1."/>
      <w:lvlJc w:val="left"/>
      <w:pPr>
        <w:ind w:left="1440" w:hanging="72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9" w15:restartNumberingAfterBreak="0">
    <w:nsid w:val="735A0DCB"/>
    <w:multiLevelType w:val="hybridMultilevel"/>
    <w:tmpl w:val="C896DDA4"/>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715427F"/>
    <w:multiLevelType w:val="hybridMultilevel"/>
    <w:tmpl w:val="DCAC400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8680B1D"/>
    <w:multiLevelType w:val="hybridMultilevel"/>
    <w:tmpl w:val="B91A9AB2"/>
    <w:lvl w:ilvl="0" w:tplc="577220E0">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8"/>
  </w:num>
  <w:num w:numId="4">
    <w:abstractNumId w:val="13"/>
  </w:num>
  <w:num w:numId="5">
    <w:abstractNumId w:val="11"/>
  </w:num>
  <w:num w:numId="6">
    <w:abstractNumId w:val="5"/>
  </w:num>
  <w:num w:numId="7">
    <w:abstractNumId w:val="20"/>
  </w:num>
  <w:num w:numId="8">
    <w:abstractNumId w:val="1"/>
  </w:num>
  <w:num w:numId="9">
    <w:abstractNumId w:val="14"/>
  </w:num>
  <w:num w:numId="10">
    <w:abstractNumId w:val="15"/>
  </w:num>
  <w:num w:numId="11">
    <w:abstractNumId w:val="2"/>
  </w:num>
  <w:num w:numId="12">
    <w:abstractNumId w:val="16"/>
  </w:num>
  <w:num w:numId="13">
    <w:abstractNumId w:val="4"/>
  </w:num>
  <w:num w:numId="14">
    <w:abstractNumId w:val="17"/>
  </w:num>
  <w:num w:numId="15">
    <w:abstractNumId w:val="3"/>
  </w:num>
  <w:num w:numId="16">
    <w:abstractNumId w:val="18"/>
  </w:num>
  <w:num w:numId="17">
    <w:abstractNumId w:val="21"/>
  </w:num>
  <w:num w:numId="18">
    <w:abstractNumId w:val="19"/>
  </w:num>
  <w:num w:numId="19">
    <w:abstractNumId w:val="0"/>
  </w:num>
  <w:num w:numId="20">
    <w:abstractNumId w:val="22"/>
  </w:num>
  <w:num w:numId="21">
    <w:abstractNumId w:val="6"/>
  </w:num>
  <w:num w:numId="22">
    <w:abstractNumId w:val="12"/>
  </w:num>
  <w:num w:numId="23">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activeWritingStyle w:appName="MSWord" w:lang="it-IT" w:vendorID="64" w:dllVersion="6" w:nlCheck="1" w:checkStyle="0"/>
  <w:activeWritingStyle w:appName="MSWord" w:lang="en-US" w:vendorID="64" w:dllVersion="6" w:nlCheck="1" w:checkStyle="1"/>
  <w:activeWritingStyle w:appName="MSWord" w:lang="de-DE" w:vendorID="64" w:dllVersion="6" w:nlCheck="1" w:checkStyle="1"/>
  <w:activeWritingStyle w:appName="MSWord" w:lang="en-GB" w:vendorID="64" w:dllVersion="6" w:nlCheck="1" w:checkStyle="1"/>
  <w:activeWritingStyle w:appName="MSWord" w:lang="de-DE" w:vendorID="64" w:dllVersion="0" w:nlCheck="1" w:checkStyle="0"/>
  <w:activeWritingStyle w:appName="MSWord" w:lang="it-IT" w:vendorID="64" w:dllVersion="0" w:nlCheck="1" w:checkStyle="0"/>
  <w:activeWritingStyle w:appName="MSWord" w:lang="en-US" w:vendorID="64" w:dllVersion="0" w:nlCheck="1" w:checkStyle="0"/>
  <w:activeWritingStyle w:appName="MSWord" w:lang="de-DE" w:vendorID="64" w:dllVersion="131078" w:nlCheck="1" w:checkStyle="0"/>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9F"/>
    <w:rsid w:val="000014BB"/>
    <w:rsid w:val="0000153A"/>
    <w:rsid w:val="00003CD9"/>
    <w:rsid w:val="00004D58"/>
    <w:rsid w:val="000101DD"/>
    <w:rsid w:val="00015C17"/>
    <w:rsid w:val="0001671E"/>
    <w:rsid w:val="00021F37"/>
    <w:rsid w:val="000229B5"/>
    <w:rsid w:val="00022C24"/>
    <w:rsid w:val="00023BD4"/>
    <w:rsid w:val="000257E2"/>
    <w:rsid w:val="00035EC1"/>
    <w:rsid w:val="0004175A"/>
    <w:rsid w:val="00041C46"/>
    <w:rsid w:val="000516F7"/>
    <w:rsid w:val="00067719"/>
    <w:rsid w:val="00067BD9"/>
    <w:rsid w:val="00074A2C"/>
    <w:rsid w:val="00077ADA"/>
    <w:rsid w:val="00082532"/>
    <w:rsid w:val="00093D6C"/>
    <w:rsid w:val="00096A05"/>
    <w:rsid w:val="000976C1"/>
    <w:rsid w:val="000A05A0"/>
    <w:rsid w:val="000A25F0"/>
    <w:rsid w:val="000A2CAE"/>
    <w:rsid w:val="000B3D9A"/>
    <w:rsid w:val="000B4424"/>
    <w:rsid w:val="000C14D3"/>
    <w:rsid w:val="000C406C"/>
    <w:rsid w:val="000C4C4A"/>
    <w:rsid w:val="000C4F6B"/>
    <w:rsid w:val="000C5891"/>
    <w:rsid w:val="000C766B"/>
    <w:rsid w:val="000D1E6D"/>
    <w:rsid w:val="000D21EE"/>
    <w:rsid w:val="000D31C9"/>
    <w:rsid w:val="000D34A6"/>
    <w:rsid w:val="000D639A"/>
    <w:rsid w:val="000E0415"/>
    <w:rsid w:val="000E0BFA"/>
    <w:rsid w:val="000E13F0"/>
    <w:rsid w:val="000E1C25"/>
    <w:rsid w:val="000E5E0D"/>
    <w:rsid w:val="000F03F8"/>
    <w:rsid w:val="000F096B"/>
    <w:rsid w:val="000F49FF"/>
    <w:rsid w:val="000F5A34"/>
    <w:rsid w:val="000F612E"/>
    <w:rsid w:val="000F63DB"/>
    <w:rsid w:val="000F708B"/>
    <w:rsid w:val="001161BC"/>
    <w:rsid w:val="00117A4A"/>
    <w:rsid w:val="00121C02"/>
    <w:rsid w:val="001243DE"/>
    <w:rsid w:val="00125E1C"/>
    <w:rsid w:val="00131103"/>
    <w:rsid w:val="001327DE"/>
    <w:rsid w:val="00133A6D"/>
    <w:rsid w:val="00134B08"/>
    <w:rsid w:val="00143A45"/>
    <w:rsid w:val="0015256C"/>
    <w:rsid w:val="00152700"/>
    <w:rsid w:val="00153823"/>
    <w:rsid w:val="001633A9"/>
    <w:rsid w:val="001638E8"/>
    <w:rsid w:val="0016430F"/>
    <w:rsid w:val="0016698F"/>
    <w:rsid w:val="00171DFC"/>
    <w:rsid w:val="001729D2"/>
    <w:rsid w:val="00172E2F"/>
    <w:rsid w:val="001733E7"/>
    <w:rsid w:val="00177881"/>
    <w:rsid w:val="00177954"/>
    <w:rsid w:val="0018076E"/>
    <w:rsid w:val="00181C50"/>
    <w:rsid w:val="00182B09"/>
    <w:rsid w:val="00184D17"/>
    <w:rsid w:val="001856A3"/>
    <w:rsid w:val="0018609D"/>
    <w:rsid w:val="00186376"/>
    <w:rsid w:val="00187197"/>
    <w:rsid w:val="00187259"/>
    <w:rsid w:val="00192735"/>
    <w:rsid w:val="00195617"/>
    <w:rsid w:val="00197098"/>
    <w:rsid w:val="001A0810"/>
    <w:rsid w:val="001A1A8F"/>
    <w:rsid w:val="001A5588"/>
    <w:rsid w:val="001B2605"/>
    <w:rsid w:val="001B3033"/>
    <w:rsid w:val="001B340E"/>
    <w:rsid w:val="001B57D4"/>
    <w:rsid w:val="001B659A"/>
    <w:rsid w:val="001B7EF5"/>
    <w:rsid w:val="001D1DA2"/>
    <w:rsid w:val="001D3A79"/>
    <w:rsid w:val="001D72E1"/>
    <w:rsid w:val="001E5466"/>
    <w:rsid w:val="001E582F"/>
    <w:rsid w:val="001F0660"/>
    <w:rsid w:val="001F578B"/>
    <w:rsid w:val="001F6F65"/>
    <w:rsid w:val="00200DA7"/>
    <w:rsid w:val="00214E30"/>
    <w:rsid w:val="00221AD3"/>
    <w:rsid w:val="0022420C"/>
    <w:rsid w:val="00224B5C"/>
    <w:rsid w:val="00224BEF"/>
    <w:rsid w:val="00226A2B"/>
    <w:rsid w:val="002345C3"/>
    <w:rsid w:val="00237673"/>
    <w:rsid w:val="00241A8E"/>
    <w:rsid w:val="00250BD7"/>
    <w:rsid w:val="00251CC3"/>
    <w:rsid w:val="00252E45"/>
    <w:rsid w:val="00254F2A"/>
    <w:rsid w:val="00254FE0"/>
    <w:rsid w:val="0025692D"/>
    <w:rsid w:val="00261A66"/>
    <w:rsid w:val="002634E4"/>
    <w:rsid w:val="00265CF3"/>
    <w:rsid w:val="00267B48"/>
    <w:rsid w:val="002737B4"/>
    <w:rsid w:val="0027477F"/>
    <w:rsid w:val="0027540F"/>
    <w:rsid w:val="00276EED"/>
    <w:rsid w:val="00280996"/>
    <w:rsid w:val="002844EA"/>
    <w:rsid w:val="00285EEE"/>
    <w:rsid w:val="00286F64"/>
    <w:rsid w:val="00291EA9"/>
    <w:rsid w:val="0029281D"/>
    <w:rsid w:val="00294D9D"/>
    <w:rsid w:val="002B31C8"/>
    <w:rsid w:val="002B3DA3"/>
    <w:rsid w:val="002B568F"/>
    <w:rsid w:val="002B57AA"/>
    <w:rsid w:val="002C325B"/>
    <w:rsid w:val="002C377D"/>
    <w:rsid w:val="002C79E4"/>
    <w:rsid w:val="002D1DB4"/>
    <w:rsid w:val="002D3665"/>
    <w:rsid w:val="002D372F"/>
    <w:rsid w:val="002D4BB8"/>
    <w:rsid w:val="002E034C"/>
    <w:rsid w:val="002E1B78"/>
    <w:rsid w:val="002E3541"/>
    <w:rsid w:val="002E412C"/>
    <w:rsid w:val="002E5DA5"/>
    <w:rsid w:val="002F1076"/>
    <w:rsid w:val="002F1A6A"/>
    <w:rsid w:val="002F384E"/>
    <w:rsid w:val="00300012"/>
    <w:rsid w:val="003007C6"/>
    <w:rsid w:val="0031046F"/>
    <w:rsid w:val="003125E0"/>
    <w:rsid w:val="00316564"/>
    <w:rsid w:val="003251FD"/>
    <w:rsid w:val="00332CA2"/>
    <w:rsid w:val="00333523"/>
    <w:rsid w:val="00340BDF"/>
    <w:rsid w:val="00342675"/>
    <w:rsid w:val="00354EF3"/>
    <w:rsid w:val="0035509E"/>
    <w:rsid w:val="0035607E"/>
    <w:rsid w:val="00360FA3"/>
    <w:rsid w:val="0036367F"/>
    <w:rsid w:val="0037335D"/>
    <w:rsid w:val="00374B58"/>
    <w:rsid w:val="0037514B"/>
    <w:rsid w:val="00387EE8"/>
    <w:rsid w:val="0039100C"/>
    <w:rsid w:val="003951AB"/>
    <w:rsid w:val="003965B8"/>
    <w:rsid w:val="00396DDD"/>
    <w:rsid w:val="003B5C9D"/>
    <w:rsid w:val="003D239B"/>
    <w:rsid w:val="003D5ACB"/>
    <w:rsid w:val="003E2F04"/>
    <w:rsid w:val="003E6FA3"/>
    <w:rsid w:val="003F3770"/>
    <w:rsid w:val="003F62CC"/>
    <w:rsid w:val="003F68CD"/>
    <w:rsid w:val="003F7351"/>
    <w:rsid w:val="004029D7"/>
    <w:rsid w:val="00403BB4"/>
    <w:rsid w:val="004126C0"/>
    <w:rsid w:val="00413D93"/>
    <w:rsid w:val="00414A19"/>
    <w:rsid w:val="00415965"/>
    <w:rsid w:val="00417377"/>
    <w:rsid w:val="00424687"/>
    <w:rsid w:val="00425BF0"/>
    <w:rsid w:val="00426379"/>
    <w:rsid w:val="00433682"/>
    <w:rsid w:val="00435B04"/>
    <w:rsid w:val="0043608A"/>
    <w:rsid w:val="00437A30"/>
    <w:rsid w:val="00440828"/>
    <w:rsid w:val="00446A3B"/>
    <w:rsid w:val="00460580"/>
    <w:rsid w:val="00460CEA"/>
    <w:rsid w:val="0046312F"/>
    <w:rsid w:val="00463F96"/>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2F87"/>
    <w:rsid w:val="004A39B4"/>
    <w:rsid w:val="004A7954"/>
    <w:rsid w:val="004B1237"/>
    <w:rsid w:val="004C07EA"/>
    <w:rsid w:val="004C1824"/>
    <w:rsid w:val="004D48C3"/>
    <w:rsid w:val="004D6407"/>
    <w:rsid w:val="004E432F"/>
    <w:rsid w:val="00515144"/>
    <w:rsid w:val="00516AE4"/>
    <w:rsid w:val="00524564"/>
    <w:rsid w:val="00527542"/>
    <w:rsid w:val="00530042"/>
    <w:rsid w:val="005333FE"/>
    <w:rsid w:val="00534D6B"/>
    <w:rsid w:val="00540576"/>
    <w:rsid w:val="00547FFE"/>
    <w:rsid w:val="00554B25"/>
    <w:rsid w:val="00555D00"/>
    <w:rsid w:val="00556F3C"/>
    <w:rsid w:val="00560FA1"/>
    <w:rsid w:val="00566862"/>
    <w:rsid w:val="00567B1A"/>
    <w:rsid w:val="0057145F"/>
    <w:rsid w:val="0057648A"/>
    <w:rsid w:val="0058212E"/>
    <w:rsid w:val="00582DB6"/>
    <w:rsid w:val="0058301A"/>
    <w:rsid w:val="00583DB7"/>
    <w:rsid w:val="005853A3"/>
    <w:rsid w:val="00585FF2"/>
    <w:rsid w:val="005930F9"/>
    <w:rsid w:val="005A098F"/>
    <w:rsid w:val="005A2518"/>
    <w:rsid w:val="005A4780"/>
    <w:rsid w:val="005A7324"/>
    <w:rsid w:val="005B1B9F"/>
    <w:rsid w:val="005B2737"/>
    <w:rsid w:val="005C1F8A"/>
    <w:rsid w:val="005C3A85"/>
    <w:rsid w:val="005D2FD2"/>
    <w:rsid w:val="005D3493"/>
    <w:rsid w:val="005D6230"/>
    <w:rsid w:val="005D63AC"/>
    <w:rsid w:val="005E06D0"/>
    <w:rsid w:val="005E20BD"/>
    <w:rsid w:val="005E349B"/>
    <w:rsid w:val="005E6392"/>
    <w:rsid w:val="005F218D"/>
    <w:rsid w:val="005F37AC"/>
    <w:rsid w:val="005F4084"/>
    <w:rsid w:val="005F5EE9"/>
    <w:rsid w:val="00604B42"/>
    <w:rsid w:val="0061164D"/>
    <w:rsid w:val="0061545E"/>
    <w:rsid w:val="00615DB8"/>
    <w:rsid w:val="00620024"/>
    <w:rsid w:val="006222ED"/>
    <w:rsid w:val="00623935"/>
    <w:rsid w:val="00624D2A"/>
    <w:rsid w:val="00624E03"/>
    <w:rsid w:val="00625541"/>
    <w:rsid w:val="00635CBB"/>
    <w:rsid w:val="006459BF"/>
    <w:rsid w:val="00652A3E"/>
    <w:rsid w:val="00654E98"/>
    <w:rsid w:val="00655F67"/>
    <w:rsid w:val="006643FA"/>
    <w:rsid w:val="00671933"/>
    <w:rsid w:val="00674136"/>
    <w:rsid w:val="00681B67"/>
    <w:rsid w:val="0069005B"/>
    <w:rsid w:val="00693DBA"/>
    <w:rsid w:val="00695CF6"/>
    <w:rsid w:val="006973A0"/>
    <w:rsid w:val="006D0DF9"/>
    <w:rsid w:val="006D0EF7"/>
    <w:rsid w:val="006D121B"/>
    <w:rsid w:val="006D3C48"/>
    <w:rsid w:val="006E22FF"/>
    <w:rsid w:val="006E24A0"/>
    <w:rsid w:val="006F1F27"/>
    <w:rsid w:val="006F4553"/>
    <w:rsid w:val="00701A0F"/>
    <w:rsid w:val="00703B45"/>
    <w:rsid w:val="00704AAA"/>
    <w:rsid w:val="00707600"/>
    <w:rsid w:val="00707E93"/>
    <w:rsid w:val="00710F47"/>
    <w:rsid w:val="00714C07"/>
    <w:rsid w:val="00715168"/>
    <w:rsid w:val="007174FB"/>
    <w:rsid w:val="00724BD7"/>
    <w:rsid w:val="007268CD"/>
    <w:rsid w:val="00727E1D"/>
    <w:rsid w:val="007321E1"/>
    <w:rsid w:val="007343CC"/>
    <w:rsid w:val="00737598"/>
    <w:rsid w:val="00740357"/>
    <w:rsid w:val="00744F82"/>
    <w:rsid w:val="007541D9"/>
    <w:rsid w:val="007563FD"/>
    <w:rsid w:val="007605DD"/>
    <w:rsid w:val="0077451C"/>
    <w:rsid w:val="00775C72"/>
    <w:rsid w:val="007817BA"/>
    <w:rsid w:val="007851F9"/>
    <w:rsid w:val="007869FA"/>
    <w:rsid w:val="00787A96"/>
    <w:rsid w:val="00791851"/>
    <w:rsid w:val="00792EE0"/>
    <w:rsid w:val="00794932"/>
    <w:rsid w:val="007A0916"/>
    <w:rsid w:val="007A0F2F"/>
    <w:rsid w:val="007A3FE0"/>
    <w:rsid w:val="007A760A"/>
    <w:rsid w:val="007B10F3"/>
    <w:rsid w:val="007B76F0"/>
    <w:rsid w:val="007D0408"/>
    <w:rsid w:val="007D12A5"/>
    <w:rsid w:val="007E0A68"/>
    <w:rsid w:val="007E1058"/>
    <w:rsid w:val="007E33CD"/>
    <w:rsid w:val="007E3D9B"/>
    <w:rsid w:val="007E691C"/>
    <w:rsid w:val="007F6CAC"/>
    <w:rsid w:val="007F758E"/>
    <w:rsid w:val="007F7BAD"/>
    <w:rsid w:val="00801CDF"/>
    <w:rsid w:val="00812BC7"/>
    <w:rsid w:val="00816FB3"/>
    <w:rsid w:val="00821D10"/>
    <w:rsid w:val="00821D8B"/>
    <w:rsid w:val="00827166"/>
    <w:rsid w:val="00827173"/>
    <w:rsid w:val="00831FCB"/>
    <w:rsid w:val="008349B9"/>
    <w:rsid w:val="00837DD8"/>
    <w:rsid w:val="00840CE1"/>
    <w:rsid w:val="00841522"/>
    <w:rsid w:val="008428DB"/>
    <w:rsid w:val="00844161"/>
    <w:rsid w:val="008455CB"/>
    <w:rsid w:val="00845C68"/>
    <w:rsid w:val="008477E3"/>
    <w:rsid w:val="00847E18"/>
    <w:rsid w:val="0086344F"/>
    <w:rsid w:val="008636C0"/>
    <w:rsid w:val="00865102"/>
    <w:rsid w:val="0086513A"/>
    <w:rsid w:val="00867199"/>
    <w:rsid w:val="00871962"/>
    <w:rsid w:val="00872DD0"/>
    <w:rsid w:val="0087549A"/>
    <w:rsid w:val="008816EC"/>
    <w:rsid w:val="00881891"/>
    <w:rsid w:val="008839BA"/>
    <w:rsid w:val="00895955"/>
    <w:rsid w:val="00895B1E"/>
    <w:rsid w:val="008961B4"/>
    <w:rsid w:val="008A7065"/>
    <w:rsid w:val="008A7092"/>
    <w:rsid w:val="008B02CE"/>
    <w:rsid w:val="008B4A7D"/>
    <w:rsid w:val="008B588B"/>
    <w:rsid w:val="008B72D4"/>
    <w:rsid w:val="008C0B65"/>
    <w:rsid w:val="008D21C4"/>
    <w:rsid w:val="008D2200"/>
    <w:rsid w:val="008D36F2"/>
    <w:rsid w:val="008D40E4"/>
    <w:rsid w:val="008E59F5"/>
    <w:rsid w:val="008E6525"/>
    <w:rsid w:val="008F5A74"/>
    <w:rsid w:val="008F782C"/>
    <w:rsid w:val="00902539"/>
    <w:rsid w:val="009223EB"/>
    <w:rsid w:val="009337B8"/>
    <w:rsid w:val="00934A9F"/>
    <w:rsid w:val="00943102"/>
    <w:rsid w:val="00943126"/>
    <w:rsid w:val="009436E4"/>
    <w:rsid w:val="00946AB7"/>
    <w:rsid w:val="00946C06"/>
    <w:rsid w:val="0095346D"/>
    <w:rsid w:val="00960B71"/>
    <w:rsid w:val="00963242"/>
    <w:rsid w:val="009634D1"/>
    <w:rsid w:val="00966CCC"/>
    <w:rsid w:val="00967322"/>
    <w:rsid w:val="009679BD"/>
    <w:rsid w:val="00971B36"/>
    <w:rsid w:val="00973670"/>
    <w:rsid w:val="00973B8D"/>
    <w:rsid w:val="00977956"/>
    <w:rsid w:val="00980A26"/>
    <w:rsid w:val="009858FD"/>
    <w:rsid w:val="00990202"/>
    <w:rsid w:val="009A675E"/>
    <w:rsid w:val="009A6DA8"/>
    <w:rsid w:val="009B3109"/>
    <w:rsid w:val="009B7BB3"/>
    <w:rsid w:val="009C1D8F"/>
    <w:rsid w:val="009C2C4C"/>
    <w:rsid w:val="009C42D3"/>
    <w:rsid w:val="009C6F53"/>
    <w:rsid w:val="009D26E3"/>
    <w:rsid w:val="009D3995"/>
    <w:rsid w:val="009D5A52"/>
    <w:rsid w:val="009D7621"/>
    <w:rsid w:val="009E041D"/>
    <w:rsid w:val="009E1CF6"/>
    <w:rsid w:val="009E30C2"/>
    <w:rsid w:val="009E3962"/>
    <w:rsid w:val="009E4140"/>
    <w:rsid w:val="009E6D9F"/>
    <w:rsid w:val="009F0F33"/>
    <w:rsid w:val="009F52BB"/>
    <w:rsid w:val="009F68DB"/>
    <w:rsid w:val="009F768F"/>
    <w:rsid w:val="00A00CE0"/>
    <w:rsid w:val="00A016D3"/>
    <w:rsid w:val="00A1346D"/>
    <w:rsid w:val="00A14FB5"/>
    <w:rsid w:val="00A15D00"/>
    <w:rsid w:val="00A2055E"/>
    <w:rsid w:val="00A23BC5"/>
    <w:rsid w:val="00A27FF1"/>
    <w:rsid w:val="00A352F4"/>
    <w:rsid w:val="00A41374"/>
    <w:rsid w:val="00A4312F"/>
    <w:rsid w:val="00A44750"/>
    <w:rsid w:val="00A50935"/>
    <w:rsid w:val="00A519B7"/>
    <w:rsid w:val="00A57703"/>
    <w:rsid w:val="00A57B3E"/>
    <w:rsid w:val="00A622C7"/>
    <w:rsid w:val="00A623FA"/>
    <w:rsid w:val="00A65C32"/>
    <w:rsid w:val="00A70246"/>
    <w:rsid w:val="00A70B56"/>
    <w:rsid w:val="00A73CDA"/>
    <w:rsid w:val="00A7608E"/>
    <w:rsid w:val="00A87B63"/>
    <w:rsid w:val="00A91EF6"/>
    <w:rsid w:val="00AA6997"/>
    <w:rsid w:val="00AB0EEB"/>
    <w:rsid w:val="00AB4133"/>
    <w:rsid w:val="00AC4ADE"/>
    <w:rsid w:val="00AD46B9"/>
    <w:rsid w:val="00AE0E2D"/>
    <w:rsid w:val="00AE555B"/>
    <w:rsid w:val="00AF23DC"/>
    <w:rsid w:val="00AF24E2"/>
    <w:rsid w:val="00AF3145"/>
    <w:rsid w:val="00AF4B7F"/>
    <w:rsid w:val="00AF54E7"/>
    <w:rsid w:val="00AF723C"/>
    <w:rsid w:val="00B02331"/>
    <w:rsid w:val="00B03ED1"/>
    <w:rsid w:val="00B10AD3"/>
    <w:rsid w:val="00B11655"/>
    <w:rsid w:val="00B11F09"/>
    <w:rsid w:val="00B15CFE"/>
    <w:rsid w:val="00B23F3C"/>
    <w:rsid w:val="00B25464"/>
    <w:rsid w:val="00B32A9D"/>
    <w:rsid w:val="00B34818"/>
    <w:rsid w:val="00B40906"/>
    <w:rsid w:val="00B40B1E"/>
    <w:rsid w:val="00B40E14"/>
    <w:rsid w:val="00B435D4"/>
    <w:rsid w:val="00B45148"/>
    <w:rsid w:val="00B476D0"/>
    <w:rsid w:val="00B4782D"/>
    <w:rsid w:val="00B5355B"/>
    <w:rsid w:val="00B55D61"/>
    <w:rsid w:val="00B57EB0"/>
    <w:rsid w:val="00B6153C"/>
    <w:rsid w:val="00B6238B"/>
    <w:rsid w:val="00B64952"/>
    <w:rsid w:val="00B64EC5"/>
    <w:rsid w:val="00B71C60"/>
    <w:rsid w:val="00B81F20"/>
    <w:rsid w:val="00B90CF2"/>
    <w:rsid w:val="00B94270"/>
    <w:rsid w:val="00B97A7F"/>
    <w:rsid w:val="00BA1079"/>
    <w:rsid w:val="00BA12FA"/>
    <w:rsid w:val="00BA199B"/>
    <w:rsid w:val="00BA27D1"/>
    <w:rsid w:val="00BA2B0F"/>
    <w:rsid w:val="00BA3A43"/>
    <w:rsid w:val="00BA666A"/>
    <w:rsid w:val="00BB28B6"/>
    <w:rsid w:val="00BB780B"/>
    <w:rsid w:val="00BC4FC3"/>
    <w:rsid w:val="00BC5104"/>
    <w:rsid w:val="00BD0359"/>
    <w:rsid w:val="00BE1433"/>
    <w:rsid w:val="00BE15E5"/>
    <w:rsid w:val="00BE50AA"/>
    <w:rsid w:val="00BF3A3E"/>
    <w:rsid w:val="00BF4951"/>
    <w:rsid w:val="00C064DB"/>
    <w:rsid w:val="00C109EE"/>
    <w:rsid w:val="00C10EDC"/>
    <w:rsid w:val="00C153B0"/>
    <w:rsid w:val="00C161E7"/>
    <w:rsid w:val="00C2214C"/>
    <w:rsid w:val="00C26C84"/>
    <w:rsid w:val="00C32D07"/>
    <w:rsid w:val="00C33674"/>
    <w:rsid w:val="00C517DC"/>
    <w:rsid w:val="00C527E4"/>
    <w:rsid w:val="00C60228"/>
    <w:rsid w:val="00C65045"/>
    <w:rsid w:val="00C73BBE"/>
    <w:rsid w:val="00C7456E"/>
    <w:rsid w:val="00C8027F"/>
    <w:rsid w:val="00C83333"/>
    <w:rsid w:val="00C8423D"/>
    <w:rsid w:val="00C846AB"/>
    <w:rsid w:val="00C8780B"/>
    <w:rsid w:val="00C91E56"/>
    <w:rsid w:val="00C92603"/>
    <w:rsid w:val="00C97B19"/>
    <w:rsid w:val="00CA1588"/>
    <w:rsid w:val="00CA26C2"/>
    <w:rsid w:val="00CA3A1D"/>
    <w:rsid w:val="00CB11C5"/>
    <w:rsid w:val="00CB2435"/>
    <w:rsid w:val="00CB33A3"/>
    <w:rsid w:val="00CB4C6F"/>
    <w:rsid w:val="00CC1238"/>
    <w:rsid w:val="00CC4EB6"/>
    <w:rsid w:val="00CD1423"/>
    <w:rsid w:val="00CD6307"/>
    <w:rsid w:val="00CD63D8"/>
    <w:rsid w:val="00CE7AC1"/>
    <w:rsid w:val="00CF09C2"/>
    <w:rsid w:val="00CF0A9C"/>
    <w:rsid w:val="00CF18CF"/>
    <w:rsid w:val="00CF3F20"/>
    <w:rsid w:val="00CF4AAE"/>
    <w:rsid w:val="00CF6D30"/>
    <w:rsid w:val="00D00C68"/>
    <w:rsid w:val="00D13556"/>
    <w:rsid w:val="00D20AFD"/>
    <w:rsid w:val="00D21608"/>
    <w:rsid w:val="00D22F81"/>
    <w:rsid w:val="00D27A29"/>
    <w:rsid w:val="00D32050"/>
    <w:rsid w:val="00D33512"/>
    <w:rsid w:val="00D36E29"/>
    <w:rsid w:val="00D3704E"/>
    <w:rsid w:val="00D405FB"/>
    <w:rsid w:val="00D40BD3"/>
    <w:rsid w:val="00D40FCD"/>
    <w:rsid w:val="00D41366"/>
    <w:rsid w:val="00D41B58"/>
    <w:rsid w:val="00D42E1C"/>
    <w:rsid w:val="00D458B6"/>
    <w:rsid w:val="00D46621"/>
    <w:rsid w:val="00D46A8E"/>
    <w:rsid w:val="00D50BFC"/>
    <w:rsid w:val="00D51BC9"/>
    <w:rsid w:val="00D5216A"/>
    <w:rsid w:val="00D54060"/>
    <w:rsid w:val="00D607D9"/>
    <w:rsid w:val="00D61804"/>
    <w:rsid w:val="00D71D6D"/>
    <w:rsid w:val="00D72379"/>
    <w:rsid w:val="00D72E05"/>
    <w:rsid w:val="00D73F0F"/>
    <w:rsid w:val="00D7432D"/>
    <w:rsid w:val="00D75F81"/>
    <w:rsid w:val="00D76DF5"/>
    <w:rsid w:val="00D774DC"/>
    <w:rsid w:val="00D77759"/>
    <w:rsid w:val="00D77DD5"/>
    <w:rsid w:val="00D8081C"/>
    <w:rsid w:val="00D80C05"/>
    <w:rsid w:val="00D80D8A"/>
    <w:rsid w:val="00D83666"/>
    <w:rsid w:val="00D840CC"/>
    <w:rsid w:val="00D85B61"/>
    <w:rsid w:val="00D86E42"/>
    <w:rsid w:val="00D87E9F"/>
    <w:rsid w:val="00D9790B"/>
    <w:rsid w:val="00DB218B"/>
    <w:rsid w:val="00DB7B3B"/>
    <w:rsid w:val="00DD0178"/>
    <w:rsid w:val="00DD1780"/>
    <w:rsid w:val="00DD6A9D"/>
    <w:rsid w:val="00DE18C8"/>
    <w:rsid w:val="00E035F0"/>
    <w:rsid w:val="00E0403B"/>
    <w:rsid w:val="00E04901"/>
    <w:rsid w:val="00E0665A"/>
    <w:rsid w:val="00E107EF"/>
    <w:rsid w:val="00E1274F"/>
    <w:rsid w:val="00E13505"/>
    <w:rsid w:val="00E206D1"/>
    <w:rsid w:val="00E2357E"/>
    <w:rsid w:val="00E2470A"/>
    <w:rsid w:val="00E2606E"/>
    <w:rsid w:val="00E34C1E"/>
    <w:rsid w:val="00E55DFE"/>
    <w:rsid w:val="00E5647A"/>
    <w:rsid w:val="00E56EDA"/>
    <w:rsid w:val="00E56F35"/>
    <w:rsid w:val="00E57C99"/>
    <w:rsid w:val="00E60D6D"/>
    <w:rsid w:val="00E635D8"/>
    <w:rsid w:val="00E667C7"/>
    <w:rsid w:val="00E7004A"/>
    <w:rsid w:val="00E73CDB"/>
    <w:rsid w:val="00E91DFF"/>
    <w:rsid w:val="00E94967"/>
    <w:rsid w:val="00E952BB"/>
    <w:rsid w:val="00E95AB4"/>
    <w:rsid w:val="00E9677E"/>
    <w:rsid w:val="00EA10C4"/>
    <w:rsid w:val="00EA51B9"/>
    <w:rsid w:val="00EB7BBA"/>
    <w:rsid w:val="00EC31B3"/>
    <w:rsid w:val="00EC5360"/>
    <w:rsid w:val="00EC6B8C"/>
    <w:rsid w:val="00EC6F0E"/>
    <w:rsid w:val="00ED179F"/>
    <w:rsid w:val="00ED374F"/>
    <w:rsid w:val="00ED3F65"/>
    <w:rsid w:val="00ED4CF0"/>
    <w:rsid w:val="00ED5D67"/>
    <w:rsid w:val="00ED5DD8"/>
    <w:rsid w:val="00ED6ECE"/>
    <w:rsid w:val="00EE34B1"/>
    <w:rsid w:val="00EE3661"/>
    <w:rsid w:val="00EE3A31"/>
    <w:rsid w:val="00EE3AB4"/>
    <w:rsid w:val="00EE6441"/>
    <w:rsid w:val="00EE6E1D"/>
    <w:rsid w:val="00EF0D89"/>
    <w:rsid w:val="00EF623C"/>
    <w:rsid w:val="00EF6407"/>
    <w:rsid w:val="00F03D78"/>
    <w:rsid w:val="00F046E1"/>
    <w:rsid w:val="00F0558B"/>
    <w:rsid w:val="00F074F2"/>
    <w:rsid w:val="00F078D7"/>
    <w:rsid w:val="00F1199E"/>
    <w:rsid w:val="00F144B0"/>
    <w:rsid w:val="00F158FC"/>
    <w:rsid w:val="00F16498"/>
    <w:rsid w:val="00F24EE6"/>
    <w:rsid w:val="00F27CF4"/>
    <w:rsid w:val="00F33C3B"/>
    <w:rsid w:val="00F45E38"/>
    <w:rsid w:val="00F5077F"/>
    <w:rsid w:val="00F55A06"/>
    <w:rsid w:val="00F568E2"/>
    <w:rsid w:val="00F57EB4"/>
    <w:rsid w:val="00F62B7C"/>
    <w:rsid w:val="00F62F7C"/>
    <w:rsid w:val="00F66853"/>
    <w:rsid w:val="00F814FF"/>
    <w:rsid w:val="00F817A4"/>
    <w:rsid w:val="00F8398B"/>
    <w:rsid w:val="00F8622A"/>
    <w:rsid w:val="00F86B25"/>
    <w:rsid w:val="00F90257"/>
    <w:rsid w:val="00F9050B"/>
    <w:rsid w:val="00F9115F"/>
    <w:rsid w:val="00FA0A8D"/>
    <w:rsid w:val="00FA1844"/>
    <w:rsid w:val="00FA731B"/>
    <w:rsid w:val="00FB2715"/>
    <w:rsid w:val="00FB4FF8"/>
    <w:rsid w:val="00FB620A"/>
    <w:rsid w:val="00FB6B67"/>
    <w:rsid w:val="00FB7A7F"/>
    <w:rsid w:val="00FC28A6"/>
    <w:rsid w:val="00FC2BF2"/>
    <w:rsid w:val="00FC6009"/>
    <w:rsid w:val="00FD0677"/>
    <w:rsid w:val="00FD6E5D"/>
    <w:rsid w:val="00FD798B"/>
    <w:rsid w:val="00FE5D5A"/>
    <w:rsid w:val="00FF00EA"/>
    <w:rsid w:val="00FF14B4"/>
    <w:rsid w:val="00FF273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09E594A"/>
  <w15:docId w15:val="{2C592303-5EDD-4011-8307-FE47BBDAB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autoRedefine/>
    <w:uiPriority w:val="39"/>
    <w:qFormat/>
    <w:rsid w:val="00F03D78"/>
    <w:pPr>
      <w:tabs>
        <w:tab w:val="right" w:leader="dot" w:pos="9639"/>
      </w:tabs>
      <w:spacing w:before="240"/>
      <w:ind w:right="-144"/>
    </w:pPr>
    <w:rPr>
      <w:b/>
      <w:i/>
      <w:color w:val="00206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autoRedefine/>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autoRedefine/>
    <w:uiPriority w:val="39"/>
    <w:qFormat/>
    <w:rsid w:val="006459BF"/>
    <w:pPr>
      <w:tabs>
        <w:tab w:val="right" w:leader="dot" w:pos="9344"/>
      </w:tabs>
      <w:spacing w:before="0" w:after="0"/>
      <w:ind w:left="658"/>
    </w:pPr>
    <w:rPr>
      <w:noProof/>
      <w:color w:val="00206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link w:val="BPUeberschrift1Char"/>
    <w:qFormat/>
    <w:rsid w:val="00B97A7F"/>
    <w:rPr>
      <w:color w:val="002060"/>
    </w:rPr>
  </w:style>
  <w:style w:type="paragraph" w:customStyle="1" w:styleId="BPUeberschrift2">
    <w:name w:val="BP_Ueberschrift_2"/>
    <w:basedOn w:val="berschrift2"/>
    <w:next w:val="BPUeberschrift3"/>
    <w:link w:val="BPUeberschrift2Char"/>
    <w:qFormat/>
    <w:rsid w:val="00B97A7F"/>
    <w:pPr>
      <w:ind w:left="0"/>
    </w:pPr>
    <w:rPr>
      <w:i/>
      <w:color w:val="002060"/>
      <w:sz w:val="24"/>
    </w:rPr>
  </w:style>
  <w:style w:type="paragraph" w:customStyle="1" w:styleId="BPUeberschrift3">
    <w:name w:val="BP_Ueberschrift_3"/>
    <w:basedOn w:val="berschrift3"/>
    <w:next w:val="BPnormalerTextChar"/>
    <w:rsid w:val="00B97A7F"/>
    <w:pPr>
      <w:ind w:left="0" w:right="850"/>
    </w:pPr>
    <w:rPr>
      <w:color w:val="00206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rsid w:val="00B97A7F"/>
    <w:pPr>
      <w:ind w:left="0"/>
    </w:pPr>
    <w:rPr>
      <w:rFonts w:cs="Arial"/>
      <w:i/>
      <w:iCs/>
      <w:color w:val="00206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D61804"/>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clear" w:pos="1070"/>
        <w:tab w:val="num" w:pos="360"/>
        <w:tab w:val="num" w:pos="2345"/>
      </w:tabs>
      <w:ind w:left="360"/>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365F91"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D6180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paragraph" w:customStyle="1" w:styleId="BPSymbolnormalerTextHngend1">
    <w:name w:val="BP_Symbol_normaler_Text + Hängend:  1"/>
    <w:aliases w:val="2  cm"/>
    <w:basedOn w:val="BPnormalerText"/>
    <w:rsid w:val="00460CEA"/>
    <w:pPr>
      <w:ind w:left="680" w:hanging="680"/>
    </w:pPr>
    <w:rPr>
      <w:szCs w:val="20"/>
    </w:rPr>
  </w:style>
  <w:style w:type="character" w:customStyle="1" w:styleId="BPnormalerTextCharChar1">
    <w:name w:val="BP_normaler_Text Char Char1"/>
    <w:basedOn w:val="berschrift2Zchn"/>
    <w:rsid w:val="00E0665A"/>
    <w:rPr>
      <w:rFonts w:ascii="Arial" w:hAnsi="Arial" w:cs="Arial"/>
      <w:b/>
      <w:bCs/>
      <w:i/>
      <w:iCs/>
      <w:color w:val="000080"/>
      <w:kern w:val="32"/>
      <w:sz w:val="22"/>
      <w:szCs w:val="24"/>
      <w:lang w:eastAsia="en-US"/>
    </w:rPr>
  </w:style>
  <w:style w:type="character" w:customStyle="1" w:styleId="BPUeberschrift2Char">
    <w:name w:val="BP_Ueberschrift_2 Char"/>
    <w:basedOn w:val="berschrift2Zchn"/>
    <w:link w:val="BPUeberschrift2"/>
    <w:rsid w:val="00E0665A"/>
    <w:rPr>
      <w:rFonts w:ascii="Arial" w:hAnsi="Arial" w:cs="Arial"/>
      <w:b/>
      <w:i/>
      <w:iCs/>
      <w:color w:val="002060"/>
      <w:kern w:val="32"/>
      <w:sz w:val="24"/>
      <w:szCs w:val="28"/>
      <w:lang w:eastAsia="en-US"/>
    </w:rPr>
  </w:style>
  <w:style w:type="character" w:customStyle="1" w:styleId="BPUeberschrift1Char">
    <w:name w:val="BP_Ueberschrift_1 Char"/>
    <w:basedOn w:val="Absatz-Standardschriftart"/>
    <w:link w:val="BPUeberschrift1"/>
    <w:rsid w:val="00E0665A"/>
    <w:rPr>
      <w:rFonts w:ascii="Arial" w:hAnsi="Arial" w:cs="Arial"/>
      <w:b/>
      <w:bCs/>
      <w:color w:val="002060"/>
      <w:kern w:val="32"/>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3" Type="http://schemas.openxmlformats.org/officeDocument/2006/relationships/image" Target="media/image10.jpeg"/><Relationship Id="rId2" Type="http://schemas.openxmlformats.org/officeDocument/2006/relationships/image" Target="media/image9.jpeg"/><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963AEEB-7F1B-4634-BA47-6BF3D4599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1025</Words>
  <Characters>7315</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G.I.B</dc:creator>
  <cp:lastModifiedBy>Baier, Anke</cp:lastModifiedBy>
  <cp:revision>14</cp:revision>
  <cp:lastPrinted>2018-08-23T11:23:00Z</cp:lastPrinted>
  <dcterms:created xsi:type="dcterms:W3CDTF">2019-01-08T15:49:00Z</dcterms:created>
  <dcterms:modified xsi:type="dcterms:W3CDTF">2019-02-05T10:47:00Z</dcterms:modified>
</cp:coreProperties>
</file>