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350F3" w:rsidRPr="009D1D07" w:rsidRDefault="009D1D07">
      <w:pPr>
        <w:rPr>
          <w:b/>
          <w:u w:val="single"/>
        </w:rPr>
      </w:pPr>
      <w:r w:rsidRPr="009D1D07">
        <w:rPr>
          <w:b/>
          <w:u w:val="single"/>
        </w:rPr>
        <w:t xml:space="preserve">Integration </w:t>
      </w:r>
      <w:r w:rsidR="00961082" w:rsidRPr="009D1D07">
        <w:rPr>
          <w:b/>
          <w:u w:val="single"/>
        </w:rPr>
        <w:t>Trackingsignal Saisonindikator</w:t>
      </w:r>
      <w:r w:rsidRPr="009D1D07">
        <w:rPr>
          <w:b/>
          <w:u w:val="single"/>
        </w:rPr>
        <w:t xml:space="preserve"> in DCF Bewertung</w:t>
      </w:r>
    </w:p>
    <w:p w:rsidR="00961082" w:rsidRDefault="00C57040">
      <w:r>
        <w:t>Getestet wurde die Integration des neuen Trackingsignals Saisonindikator (SI) in die DCF Bewertung.</w:t>
      </w:r>
    </w:p>
    <w:p w:rsidR="006225CD" w:rsidRDefault="00C57040" w:rsidP="006225CD">
      <w:r>
        <w:t xml:space="preserve">Der Saisonindikator </w:t>
      </w:r>
      <w:r w:rsidR="006225CD">
        <w:t>wertet die Signifikanz des Autokorrelationskoeffizienten (Basis trendbereinigter Verbrauch) mit Lag = Saisonlänge aus.</w:t>
      </w:r>
      <w:r w:rsidR="006225CD" w:rsidRPr="006225CD">
        <w:t xml:space="preserve"> </w:t>
      </w:r>
      <w:r w:rsidR="006225CD">
        <w:t>Details zur Ermittlung finden sich im Konzept des Trackingsignals (Bug 10042).</w:t>
      </w:r>
    </w:p>
    <w:p w:rsidR="006225CD" w:rsidRDefault="0090409E" w:rsidP="006225CD">
      <w:pPr>
        <w:jc w:val="center"/>
      </w:pPr>
      <w:r w:rsidRPr="0090409E">
        <w:rPr>
          <w:noProof/>
          <w:lang w:eastAsia="de-DE"/>
        </w:rPr>
        <w:drawing>
          <wp:inline distT="0" distB="0" distL="0" distR="0">
            <wp:extent cx="1657534" cy="1455031"/>
            <wp:effectExtent l="0" t="0" r="0" b="0"/>
            <wp:docPr id="59" name="Grafik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667368" cy="1463663"/>
                    </a:xfrm>
                    <a:prstGeom prst="rect">
                      <a:avLst/>
                    </a:prstGeom>
                    <a:noFill/>
                    <a:ln>
                      <a:noFill/>
                    </a:ln>
                  </pic:spPr>
                </pic:pic>
              </a:graphicData>
            </a:graphic>
          </wp:inline>
        </w:drawing>
      </w:r>
    </w:p>
    <w:p w:rsidR="006225CD" w:rsidRDefault="006225CD" w:rsidP="00961082">
      <w:r>
        <w:t>Ziel der Einführung des Trackingsignals ist eine verbesserte Erkennung von Verbrauchsreihen mit saisonaler Komponen</w:t>
      </w:r>
      <w:r w:rsidR="00693508">
        <w:t>te und eine darauf aufbauende Auswahl geeigneter Prognoseverfahren. D.h. im Fall des Vorliegens einer signifikanten</w:t>
      </w:r>
      <w:r w:rsidR="0090409E">
        <w:t xml:space="preserve"> positiven</w:t>
      </w:r>
      <w:r w:rsidR="00693508">
        <w:t xml:space="preserve"> Autokorrelation sollen saisonale Prognoseverfahren (SA, SF, WA, WM) gezielt aufgewertet werden. Liegt keine signifikante </w:t>
      </w:r>
      <w:r w:rsidR="0090409E">
        <w:t xml:space="preserve">positive </w:t>
      </w:r>
      <w:r w:rsidR="00693508">
        <w:t xml:space="preserve">Autokorrelation vor, so ist nicht vom Vorliegen eines sich wiederholenden saisonalen Musters auszugehen. Nicht-saisonale Prognoseverfahren sind in diesem Fall vorzuziehen. </w:t>
      </w:r>
    </w:p>
    <w:p w:rsidR="006225CD" w:rsidRDefault="00673F37" w:rsidP="00961082">
      <w:r>
        <w:t>Resultierend aus den Testergebnissen wird folgende Integration des neuen Trackingsignals in die DCF Bewertung vorgeschlagen:</w:t>
      </w:r>
    </w:p>
    <w:p w:rsidR="007B399F" w:rsidRDefault="007B399F" w:rsidP="005F0072">
      <w:pPr>
        <w:pStyle w:val="Listenabsatz"/>
        <w:numPr>
          <w:ilvl w:val="0"/>
          <w:numId w:val="6"/>
        </w:numPr>
      </w:pPr>
      <w:r>
        <w:t xml:space="preserve">Das Vorliegen einer signifikanten </w:t>
      </w:r>
      <w:r w:rsidR="0090409E">
        <w:t xml:space="preserve">positiven </w:t>
      </w:r>
      <w:r>
        <w:t xml:space="preserve">Autokorrelation für die Saisonlänge </w:t>
      </w:r>
      <w:r w:rsidR="0090409E">
        <w:t xml:space="preserve">weist lediglich auf eine hohe </w:t>
      </w:r>
      <w:r w:rsidR="00D2093D">
        <w:t>Wahrscheinlichkeit für das Vorl</w:t>
      </w:r>
      <w:r w:rsidR="0090409E">
        <w:t>i</w:t>
      </w:r>
      <w:r w:rsidR="00D2093D">
        <w:t>e</w:t>
      </w:r>
      <w:r w:rsidR="0090409E">
        <w:t xml:space="preserve">gen eines </w:t>
      </w:r>
      <w:r>
        <w:t xml:space="preserve">sich wiederholenden Musters in den Verbrauchsdaten </w:t>
      </w:r>
      <w:r w:rsidR="0090409E">
        <w:t>hin</w:t>
      </w:r>
      <w:r>
        <w:t xml:space="preserve"> </w:t>
      </w:r>
      <w:r w:rsidRPr="00D2093D">
        <w:t>(</w:t>
      </w:r>
      <w:r w:rsidR="00D2093D">
        <w:t>siehe</w:t>
      </w:r>
      <w:r w:rsidRPr="00D2093D">
        <w:t xml:space="preserve"> Abschnitt „Anmerkungen</w:t>
      </w:r>
      <w:r w:rsidR="00D2093D" w:rsidRPr="00D2093D">
        <w:t xml:space="preserve"> zur Aussagekraft des Trackingsignals Saisonindikator</w:t>
      </w:r>
      <w:r w:rsidRPr="00D2093D">
        <w:t>“)</w:t>
      </w:r>
      <w:r>
        <w:t xml:space="preserve">. </w:t>
      </w:r>
      <w:r w:rsidR="00673F37">
        <w:t>Die Einbeziehung</w:t>
      </w:r>
      <w:r>
        <w:t xml:space="preserve"> des Trackingsignals </w:t>
      </w:r>
      <w:r w:rsidR="00673F37">
        <w:t xml:space="preserve">in die DCF Bewertung ist </w:t>
      </w:r>
      <w:r>
        <w:t xml:space="preserve">daher </w:t>
      </w:r>
      <w:r w:rsidR="00D2093D" w:rsidRPr="00DB6948">
        <w:rPr>
          <w:b/>
        </w:rPr>
        <w:t>optional</w:t>
      </w:r>
      <w:r w:rsidR="00D2093D">
        <w:t xml:space="preserve"> und so gewählt, dass auch saisonale Verfahren ihre Eignung für saisonale Verbrauchsreihen im ex Post Vergleich beweisen müssen. </w:t>
      </w:r>
    </w:p>
    <w:p w:rsidR="007B399F" w:rsidRDefault="00673F37" w:rsidP="007B399F">
      <w:pPr>
        <w:pStyle w:val="Listenabsatz"/>
        <w:numPr>
          <w:ilvl w:val="0"/>
          <w:numId w:val="6"/>
        </w:numPr>
      </w:pPr>
      <w:r>
        <w:t xml:space="preserve">Sie ist sinnvoll, wenn im Materialspektrum viele saisonale Verbrauchsverläufe vorliegen. Dies kann mit Hilfe des Trackingsignals überprüft werden. Außerdem ist zu klären, ob eine verstärkte Verwendung saisonaler Verfahren </w:t>
      </w:r>
      <w:r w:rsidR="00CB403B">
        <w:t xml:space="preserve">vom Kunden </w:t>
      </w:r>
      <w:r>
        <w:t>erwünscht ist</w:t>
      </w:r>
      <w:r w:rsidR="00CB403B">
        <w:t>. Insbes</w:t>
      </w:r>
      <w:r w:rsidR="00DB6948">
        <w:t>ondere bei extremer Saison</w:t>
      </w:r>
      <w:r w:rsidR="00CB403B">
        <w:t xml:space="preserve"> führ</w:t>
      </w:r>
      <w:r w:rsidR="00DB6948">
        <w:t>en</w:t>
      </w:r>
      <w:r w:rsidR="00CB403B">
        <w:t xml:space="preserve"> saisonale Prognose</w:t>
      </w:r>
      <w:r w:rsidR="00DB6948">
        <w:t>verfahren</w:t>
      </w:r>
      <w:r w:rsidR="00CB403B">
        <w:t xml:space="preserve"> ggf. zu höheren absoluten Prognosefehlern im Vergleich zu einem konstanten Modell (z.B. MA</w:t>
      </w:r>
      <w:r w:rsidR="00DB6948">
        <w:t>, S1</w:t>
      </w:r>
      <w:r w:rsidR="00CB403B">
        <w:t xml:space="preserve">), welches sich am mittleren Verbrauch orientiert. </w:t>
      </w:r>
      <w:r>
        <w:t xml:space="preserve"> </w:t>
      </w:r>
    </w:p>
    <w:p w:rsidR="007F2516" w:rsidRDefault="007F2516" w:rsidP="007B399F">
      <w:pPr>
        <w:pStyle w:val="Listenabsatz"/>
        <w:numPr>
          <w:ilvl w:val="0"/>
          <w:numId w:val="6"/>
        </w:numPr>
      </w:pPr>
      <w:r>
        <w:t xml:space="preserve">Die Einbeziehung des Saisonindikators passt konzeptionell insbesondere zur Vorauswahl geeigneter Prognoseverfahren per </w:t>
      </w:r>
      <w:r w:rsidRPr="007F2516">
        <w:rPr>
          <w:b/>
        </w:rPr>
        <w:t>XYZ Klassifizierung</w:t>
      </w:r>
      <w:r>
        <w:t>.</w:t>
      </w:r>
    </w:p>
    <w:p w:rsidR="00D85CAB" w:rsidRDefault="00D85CAB" w:rsidP="007B399F">
      <w:pPr>
        <w:pStyle w:val="Listenabsatz"/>
        <w:numPr>
          <w:ilvl w:val="0"/>
          <w:numId w:val="6"/>
        </w:numPr>
      </w:pPr>
      <w:r>
        <w:t>Eine Verbesserung der Prognosequalität ist vor allem im kurzfristigen Bereich zu erwarten. Bei mittelfristigem Fokus der Prognose ist die Auswirkung des Saisonindikators für nicht-saisonale Verbrauchsverläufe zu überprüfen.</w:t>
      </w:r>
    </w:p>
    <w:p w:rsidR="00D2093D" w:rsidRDefault="00673F37" w:rsidP="005F0072">
      <w:pPr>
        <w:pStyle w:val="Listenabsatz"/>
        <w:numPr>
          <w:ilvl w:val="0"/>
          <w:numId w:val="6"/>
        </w:numPr>
      </w:pPr>
      <w:r>
        <w:t xml:space="preserve">Werden vor allem sporadische Z-Materialien prognostiziert, bringt die Einführung des Trackingsignals keine Vorteile.  </w:t>
      </w:r>
      <w:r w:rsidR="00D2093D" w:rsidRPr="00D2093D">
        <w:t>(</w:t>
      </w:r>
      <w:r w:rsidR="00D2093D">
        <w:t>siehe</w:t>
      </w:r>
      <w:r w:rsidR="00D2093D" w:rsidRPr="00D2093D">
        <w:t xml:space="preserve"> Abschnitt „Anmerkungen zur Aussagekraft des Trackingsignals Saisonindikator“)</w:t>
      </w:r>
      <w:r w:rsidR="00D2093D">
        <w:t xml:space="preserve">. </w:t>
      </w:r>
    </w:p>
    <w:p w:rsidR="00673F37" w:rsidRDefault="00CB403B" w:rsidP="005F0072">
      <w:pPr>
        <w:pStyle w:val="Listenabsatz"/>
        <w:numPr>
          <w:ilvl w:val="0"/>
          <w:numId w:val="6"/>
        </w:numPr>
      </w:pPr>
      <w:r>
        <w:t xml:space="preserve">Vorgeschlagen wird eine </w:t>
      </w:r>
      <w:r w:rsidRPr="00DB6948">
        <w:rPr>
          <w:b/>
        </w:rPr>
        <w:t>Auf- bzw. Abwertung saisonaler Verfahren</w:t>
      </w:r>
      <w:r>
        <w:t xml:space="preserve"> abhängig vom Saisonindikator</w:t>
      </w:r>
      <w:r w:rsidR="00D2093D">
        <w:t xml:space="preserve"> um jeweils </w:t>
      </w:r>
      <w:r w:rsidR="00D2093D" w:rsidRPr="00DB6948">
        <w:rPr>
          <w:b/>
        </w:rPr>
        <w:t>30 Punkte</w:t>
      </w:r>
      <w:r>
        <w:t xml:space="preserve">. </w:t>
      </w:r>
      <w:r w:rsidR="00D2093D">
        <w:t xml:space="preserve">Bei den </w:t>
      </w:r>
      <w:r>
        <w:t xml:space="preserve">Testdaten führte </w:t>
      </w:r>
      <w:r w:rsidR="00D2093D">
        <w:t xml:space="preserve">auch </w:t>
      </w:r>
      <w:r>
        <w:t xml:space="preserve">eine Auf-/Abwertung um </w:t>
      </w:r>
      <w:r w:rsidR="00D2093D">
        <w:t>40 bzw.</w:t>
      </w:r>
      <w:r>
        <w:t xml:space="preserve"> 50 Punkte zu nahezu gleichen Ergebnissen.</w:t>
      </w:r>
      <w:r w:rsidR="00D2093D">
        <w:t xml:space="preserve"> </w:t>
      </w:r>
    </w:p>
    <w:p w:rsidR="00CB403B" w:rsidRDefault="00CB403B" w:rsidP="00CB403B">
      <w:pPr>
        <w:pStyle w:val="Listenabsatz"/>
      </w:pPr>
    </w:p>
    <w:p w:rsidR="00CB403B" w:rsidRDefault="00CB403B" w:rsidP="00CB403B">
      <w:pPr>
        <w:pStyle w:val="Listenabsatz"/>
      </w:pPr>
      <w:r>
        <w:rPr>
          <w:noProof/>
          <w:lang w:eastAsia="de-DE"/>
        </w:rPr>
        <w:lastRenderedPageBreak/>
        <w:drawing>
          <wp:inline distT="0" distB="0" distL="0" distR="0" wp14:anchorId="79063DFF" wp14:editId="6D1EB6FC">
            <wp:extent cx="5134250" cy="1422219"/>
            <wp:effectExtent l="0" t="0" r="0" b="6985"/>
            <wp:docPr id="58" name="Grafik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5145564" cy="1425353"/>
                    </a:xfrm>
                    <a:prstGeom prst="rect">
                      <a:avLst/>
                    </a:prstGeom>
                  </pic:spPr>
                </pic:pic>
              </a:graphicData>
            </a:graphic>
          </wp:inline>
        </w:drawing>
      </w:r>
    </w:p>
    <w:p w:rsidR="00D85CAB" w:rsidRDefault="00D85CAB" w:rsidP="00D85CAB"/>
    <w:p w:rsidR="007B399F" w:rsidRPr="007B399F" w:rsidRDefault="007B399F" w:rsidP="00961082">
      <w:pPr>
        <w:rPr>
          <w:b/>
          <w:u w:val="single"/>
        </w:rPr>
      </w:pPr>
      <w:r w:rsidRPr="007B399F">
        <w:rPr>
          <w:b/>
          <w:u w:val="single"/>
        </w:rPr>
        <w:t>Anmerkungen zur Aussagekraft des Trackingsignals Saisonindikator</w:t>
      </w:r>
    </w:p>
    <w:p w:rsidR="00763584" w:rsidRDefault="007B399F" w:rsidP="00961082">
      <w:r>
        <w:t xml:space="preserve">Der Saisonindikator zeigt eine statistisch signifikante </w:t>
      </w:r>
      <w:r w:rsidR="0090409E">
        <w:t xml:space="preserve">positive </w:t>
      </w:r>
      <w:r>
        <w:t xml:space="preserve">Autokorrelation der Verbrauchsreihe für eine gegebene Saisonlänge an. </w:t>
      </w:r>
      <w:r w:rsidR="00763584">
        <w:t xml:space="preserve">In der Zeitreihenanalyse kann daraus üblicherweise auf ein saisonales Verbrauchsmuster geschlossen werden. </w:t>
      </w:r>
    </w:p>
    <w:p w:rsidR="00763584" w:rsidRDefault="00763584" w:rsidP="00961082">
      <w:r>
        <w:t>Diese Annahme unterliegt allerdings einigen Einschränkungen bezüglich der Aussagekraft insbesondere bei speziellem Datenkonstellationen.</w:t>
      </w:r>
    </w:p>
    <w:p w:rsidR="00763584" w:rsidRPr="0090409E" w:rsidRDefault="00763584" w:rsidP="00763584">
      <w:pPr>
        <w:pStyle w:val="Listenabsatz"/>
        <w:numPr>
          <w:ilvl w:val="0"/>
          <w:numId w:val="7"/>
        </w:numPr>
        <w:rPr>
          <w:b/>
          <w:u w:val="single"/>
        </w:rPr>
      </w:pPr>
      <w:r w:rsidRPr="0090409E">
        <w:rPr>
          <w:b/>
          <w:u w:val="single"/>
        </w:rPr>
        <w:t>Generelle Aussagekraft der Autokorrelation (Korrelation vs. Kausalität)</w:t>
      </w:r>
    </w:p>
    <w:p w:rsidR="00763584" w:rsidRDefault="00763584" w:rsidP="00763584">
      <w:pPr>
        <w:pStyle w:val="Listenabsatz"/>
      </w:pPr>
      <w:r>
        <w:t xml:space="preserve">Der Autokorrelationskoeffizient trifft eine Aussage über </w:t>
      </w:r>
      <w:r w:rsidR="0090409E">
        <w:t>Stärke</w:t>
      </w:r>
      <w:r>
        <w:t xml:space="preserve"> und Richtung der Abweichung einzelner Periodenwerte im Vergleich zum Durchschnittsverbrauch.</w:t>
      </w:r>
      <w:r w:rsidR="0090409E">
        <w:t xml:space="preserve"> Dazu wird die Varianz (im Sinne der Abweichung vom Mittelwert) zweier aufeinanderfolgender Perioden im Abstand eines Saisonzyklus (z.B. Mai in 2 aufeinanderfolgenden Jahren) (</w:t>
      </w:r>
      <w:r w:rsidR="0090409E" w:rsidRPr="00DB6948">
        <w:rPr>
          <w:i/>
        </w:rPr>
        <w:t>Zähler)</w:t>
      </w:r>
      <w:r w:rsidR="0090409E">
        <w:t>, bezogen auf die Varianz der gesamten Verbrauchsreihe (</w:t>
      </w:r>
      <w:r w:rsidR="0090409E" w:rsidRPr="00DB6948">
        <w:rPr>
          <w:i/>
        </w:rPr>
        <w:t>Nenner</w:t>
      </w:r>
      <w:r w:rsidR="0090409E">
        <w:t xml:space="preserve">). </w:t>
      </w:r>
    </w:p>
    <w:p w:rsidR="0090409E" w:rsidRDefault="0090409E" w:rsidP="00763584">
      <w:pPr>
        <w:pStyle w:val="Listenabsatz"/>
      </w:pPr>
    </w:p>
    <w:p w:rsidR="00763584" w:rsidRPr="001A2BB0" w:rsidRDefault="0090409E" w:rsidP="00763584">
      <w:pPr>
        <w:pStyle w:val="Listenabsatz"/>
        <w:rPr>
          <w:rFonts w:eastAsiaTheme="minorEastAsia"/>
        </w:rPr>
      </w:pPr>
      <m:oMathPara>
        <m:oMath>
          <m:r>
            <w:rPr>
              <w:rFonts w:ascii="Cambria Math" w:hAnsi="Cambria Math"/>
            </w:rPr>
            <m:t>AK=</m:t>
          </m:r>
          <m:f>
            <m:fPr>
              <m:ctrlPr>
                <w:rPr>
                  <w:rFonts w:ascii="Cambria Math" w:hAnsi="Cambria Math"/>
                  <w:i/>
                </w:rPr>
              </m:ctrlPr>
            </m:fPr>
            <m:num>
              <m:f>
                <m:fPr>
                  <m:ctrlPr>
                    <w:rPr>
                      <w:rFonts w:ascii="Cambria Math" w:hAnsi="Cambria Math"/>
                      <w:i/>
                    </w:rPr>
                  </m:ctrlPr>
                </m:fPr>
                <m:num>
                  <m:r>
                    <w:rPr>
                      <w:rFonts w:ascii="Cambria Math" w:hAnsi="Cambria Math"/>
                    </w:rPr>
                    <m:t>1</m:t>
                  </m:r>
                </m:num>
                <m:den>
                  <m:r>
                    <w:rPr>
                      <w:rFonts w:ascii="Cambria Math" w:hAnsi="Cambria Math"/>
                    </w:rPr>
                    <m:t>N-L</m:t>
                  </m:r>
                </m:den>
              </m:f>
              <m:r>
                <w:rPr>
                  <w:rFonts w:ascii="Cambria Math" w:hAnsi="Cambria Math"/>
                </w:rPr>
                <m:t>*</m:t>
              </m:r>
              <m:nary>
                <m:naryPr>
                  <m:chr m:val="∑"/>
                  <m:limLoc m:val="undOvr"/>
                  <m:subHide m:val="1"/>
                  <m:supHide m:val="1"/>
                  <m:ctrlPr>
                    <w:rPr>
                      <w:rFonts w:ascii="Cambria Math" w:hAnsi="Cambria Math"/>
                      <w:i/>
                    </w:rPr>
                  </m:ctrlPr>
                </m:naryPr>
                <m:sub/>
                <m:sup/>
                <m:e>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i+L</m:t>
                          </m:r>
                        </m:sub>
                      </m:sSub>
                      <m:r>
                        <w:rPr>
                          <w:rFonts w:ascii="Cambria Math" w:hAnsi="Cambria Math"/>
                        </w:rPr>
                        <m:t>-</m:t>
                      </m:r>
                      <m:acc>
                        <m:accPr>
                          <m:chr m:val="̅"/>
                          <m:ctrlPr>
                            <w:rPr>
                              <w:rFonts w:ascii="Cambria Math" w:hAnsi="Cambria Math"/>
                              <w:i/>
                            </w:rPr>
                          </m:ctrlPr>
                        </m:accPr>
                        <m:e>
                          <m:r>
                            <w:rPr>
                              <w:rFonts w:ascii="Cambria Math" w:hAnsi="Cambria Math"/>
                            </w:rPr>
                            <m:t>x</m:t>
                          </m:r>
                        </m:e>
                      </m:acc>
                    </m:e>
                  </m:d>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 xml:space="preserve">- </m:t>
                  </m:r>
                  <m:acc>
                    <m:accPr>
                      <m:chr m:val="̅"/>
                      <m:ctrlPr>
                        <w:rPr>
                          <w:rFonts w:ascii="Cambria Math" w:hAnsi="Cambria Math"/>
                          <w:i/>
                        </w:rPr>
                      </m:ctrlPr>
                    </m:accPr>
                    <m:e>
                      <m:r>
                        <w:rPr>
                          <w:rFonts w:ascii="Cambria Math" w:hAnsi="Cambria Math"/>
                        </w:rPr>
                        <m:t>x</m:t>
                      </m:r>
                    </m:e>
                  </m:acc>
                  <m:r>
                    <w:rPr>
                      <w:rFonts w:ascii="Cambria Math" w:hAnsi="Cambria Math"/>
                    </w:rPr>
                    <m:t>)</m:t>
                  </m:r>
                </m:e>
              </m:nary>
            </m:num>
            <m:den>
              <m:sSup>
                <m:sSupPr>
                  <m:ctrlPr>
                    <w:rPr>
                      <w:rFonts w:ascii="Cambria Math" w:hAnsi="Cambria Math"/>
                      <w:i/>
                    </w:rPr>
                  </m:ctrlPr>
                </m:sSupPr>
                <m:e>
                  <m:f>
                    <m:fPr>
                      <m:ctrlPr>
                        <w:rPr>
                          <w:rFonts w:ascii="Cambria Math" w:hAnsi="Cambria Math"/>
                          <w:i/>
                        </w:rPr>
                      </m:ctrlPr>
                    </m:fPr>
                    <m:num>
                      <m:r>
                        <w:rPr>
                          <w:rFonts w:ascii="Cambria Math" w:hAnsi="Cambria Math"/>
                        </w:rPr>
                        <m:t>1</m:t>
                      </m:r>
                    </m:num>
                    <m:den>
                      <m:r>
                        <w:rPr>
                          <w:rFonts w:ascii="Cambria Math" w:hAnsi="Cambria Math"/>
                        </w:rPr>
                        <m:t>N</m:t>
                      </m:r>
                    </m:den>
                  </m:f>
                  <m:nary>
                    <m:naryPr>
                      <m:chr m:val="∑"/>
                      <m:limLoc m:val="undOvr"/>
                      <m:subHide m:val="1"/>
                      <m:supHide m:val="1"/>
                      <m:ctrlPr>
                        <w:rPr>
                          <w:rFonts w:ascii="Cambria Math" w:hAnsi="Cambria Math"/>
                          <w:i/>
                        </w:rPr>
                      </m:ctrlPr>
                    </m:naryPr>
                    <m:sub/>
                    <m:sup/>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m:t>
                      </m:r>
                      <m:acc>
                        <m:accPr>
                          <m:chr m:val="̅"/>
                          <m:ctrlPr>
                            <w:rPr>
                              <w:rFonts w:ascii="Cambria Math" w:hAnsi="Cambria Math"/>
                              <w:i/>
                            </w:rPr>
                          </m:ctrlPr>
                        </m:accPr>
                        <m:e>
                          <m:r>
                            <w:rPr>
                              <w:rFonts w:ascii="Cambria Math" w:hAnsi="Cambria Math"/>
                            </w:rPr>
                            <m:t>x</m:t>
                          </m:r>
                        </m:e>
                      </m:acc>
                    </m:e>
                  </m:nary>
                  <m:r>
                    <w:rPr>
                      <w:rFonts w:ascii="Cambria Math" w:hAnsi="Cambria Math"/>
                    </w:rPr>
                    <m:t>)</m:t>
                  </m:r>
                </m:e>
                <m:sup>
                  <m:r>
                    <w:rPr>
                      <w:rFonts w:ascii="Cambria Math" w:hAnsi="Cambria Math"/>
                    </w:rPr>
                    <m:t>2</m:t>
                  </m:r>
                </m:sup>
              </m:sSup>
            </m:den>
          </m:f>
        </m:oMath>
      </m:oMathPara>
    </w:p>
    <w:p w:rsidR="00763584" w:rsidRDefault="0090409E" w:rsidP="00763584">
      <w:pPr>
        <w:pStyle w:val="Listenabsatz"/>
      </w:pPr>
      <w:r>
        <w:t xml:space="preserve">mit </w:t>
      </w:r>
    </w:p>
    <w:p w:rsidR="0090409E" w:rsidRDefault="0090409E" w:rsidP="00763584">
      <w:pPr>
        <w:pStyle w:val="Listenabsatz"/>
      </w:pPr>
      <w:r>
        <w:t>AK- Autokorrelationskoeffizient</w:t>
      </w:r>
    </w:p>
    <w:p w:rsidR="0090409E" w:rsidRDefault="0090409E" w:rsidP="0090409E">
      <w:pPr>
        <w:pStyle w:val="Listenabsatz"/>
      </w:pPr>
      <w:r>
        <w:t xml:space="preserve">N – Anzahl Vergangenheitswerte </w:t>
      </w:r>
    </w:p>
    <w:p w:rsidR="0090409E" w:rsidRDefault="0090409E" w:rsidP="0090409E">
      <w:pPr>
        <w:pStyle w:val="Listenabsatz"/>
      </w:pPr>
      <w:r>
        <w:t>L – Perioden Saisonlänge</w:t>
      </w:r>
    </w:p>
    <w:p w:rsidR="0090409E" w:rsidRPr="001A2BB0" w:rsidRDefault="005F0072" w:rsidP="0090409E">
      <w:pPr>
        <w:pStyle w:val="Listenabsatz"/>
        <w:rPr>
          <w:rFonts w:eastAsiaTheme="minorEastAsia"/>
        </w:rPr>
      </w:pPr>
      <m:oMath>
        <m:sSub>
          <m:sSubPr>
            <m:ctrlPr>
              <w:rPr>
                <w:rFonts w:ascii="Cambria Math" w:hAnsi="Cambria Math"/>
                <w:i/>
              </w:rPr>
            </m:ctrlPr>
          </m:sSubPr>
          <m:e>
            <m:r>
              <w:rPr>
                <w:rFonts w:ascii="Cambria Math" w:hAnsi="Cambria Math"/>
              </w:rPr>
              <m:t>x</m:t>
            </m:r>
          </m:e>
          <m:sub>
            <m:r>
              <w:rPr>
                <w:rFonts w:ascii="Cambria Math" w:hAnsi="Cambria Math"/>
              </w:rPr>
              <m:t>i</m:t>
            </m:r>
          </m:sub>
        </m:sSub>
      </m:oMath>
      <w:r w:rsidR="0090409E" w:rsidRPr="001A2BB0">
        <w:rPr>
          <w:rFonts w:eastAsiaTheme="minorEastAsia"/>
        </w:rPr>
        <w:t xml:space="preserve"> – Verbrauchswert zum Zeitpunkt i</w:t>
      </w:r>
    </w:p>
    <w:p w:rsidR="0090409E" w:rsidRDefault="005F0072" w:rsidP="0090409E">
      <w:pPr>
        <w:pStyle w:val="Listenabsatz"/>
      </w:pPr>
      <m:oMath>
        <m:acc>
          <m:accPr>
            <m:chr m:val="̅"/>
            <m:ctrlPr>
              <w:rPr>
                <w:rFonts w:ascii="Cambria Math" w:hAnsi="Cambria Math"/>
                <w:i/>
              </w:rPr>
            </m:ctrlPr>
          </m:accPr>
          <m:e>
            <m:r>
              <w:rPr>
                <w:rFonts w:ascii="Cambria Math" w:hAnsi="Cambria Math"/>
              </w:rPr>
              <m:t>x</m:t>
            </m:r>
          </m:e>
        </m:acc>
      </m:oMath>
      <w:r w:rsidR="0090409E" w:rsidRPr="001A2BB0">
        <w:rPr>
          <w:rFonts w:eastAsiaTheme="minorEastAsia"/>
        </w:rPr>
        <w:t xml:space="preserve"> – Mittelwert Verbrauch.</w:t>
      </w:r>
    </w:p>
    <w:p w:rsidR="0090409E" w:rsidRDefault="0090409E" w:rsidP="00763584">
      <w:pPr>
        <w:pStyle w:val="Listenabsatz"/>
      </w:pPr>
    </w:p>
    <w:p w:rsidR="0090409E" w:rsidRDefault="00BF2AE5" w:rsidP="00763584">
      <w:pPr>
        <w:pStyle w:val="Listenabsatz"/>
      </w:pPr>
      <w:r>
        <w:t xml:space="preserve">Gleichgerichtete </w:t>
      </w:r>
      <w:r w:rsidR="0090409E">
        <w:t>Abweichung</w:t>
      </w:r>
      <w:r>
        <w:t>en</w:t>
      </w:r>
      <w:r w:rsidR="0090409E">
        <w:t xml:space="preserve"> </w:t>
      </w:r>
      <w:r>
        <w:t xml:space="preserve">zweier aufeinander folgender Saisonperioden (z.B. Mai) </w:t>
      </w:r>
      <w:r w:rsidR="0090409E">
        <w:t>vom Mit</w:t>
      </w:r>
      <w:r>
        <w:t>telwert erhöhten den Zähler und damit de</w:t>
      </w:r>
      <w:r w:rsidR="00DB6948">
        <w:t>n</w:t>
      </w:r>
      <w:r>
        <w:t xml:space="preserve"> Autokorrelationskoeffizient</w:t>
      </w:r>
      <w:r w:rsidR="00D85CAB">
        <w:t>en</w:t>
      </w:r>
      <w:r>
        <w:t>. Bei gegensätzlicher Richtung der Abweichung verringert sich der Zähler.</w:t>
      </w:r>
    </w:p>
    <w:p w:rsidR="0090409E" w:rsidRDefault="0090409E" w:rsidP="00763584">
      <w:pPr>
        <w:pStyle w:val="Listenabsatz"/>
      </w:pPr>
    </w:p>
    <w:p w:rsidR="0090409E" w:rsidRDefault="0090409E" w:rsidP="00DB6948">
      <w:pPr>
        <w:pStyle w:val="Listenabsatz"/>
        <w:jc w:val="center"/>
      </w:pPr>
      <w:r>
        <w:rPr>
          <w:noProof/>
          <w:lang w:eastAsia="de-DE"/>
        </w:rPr>
        <w:drawing>
          <wp:inline distT="0" distB="0" distL="0" distR="0" wp14:anchorId="2FF1B5B8" wp14:editId="66D50EE3">
            <wp:extent cx="2330476" cy="1401635"/>
            <wp:effectExtent l="0" t="0" r="0" b="8255"/>
            <wp:docPr id="60" name="Grafik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341795" cy="1408443"/>
                    </a:xfrm>
                    <a:prstGeom prst="rect">
                      <a:avLst/>
                    </a:prstGeom>
                    <a:noFill/>
                  </pic:spPr>
                </pic:pic>
              </a:graphicData>
            </a:graphic>
          </wp:inline>
        </w:drawing>
      </w:r>
      <w:r w:rsidR="00DB6948">
        <w:rPr>
          <w:noProof/>
          <w:lang w:eastAsia="de-DE"/>
        </w:rPr>
        <w:t xml:space="preserve">    </w:t>
      </w:r>
      <w:r w:rsidR="00BF2AE5">
        <w:rPr>
          <w:noProof/>
          <w:lang w:eastAsia="de-DE"/>
        </w:rPr>
        <w:drawing>
          <wp:inline distT="0" distB="0" distL="0" distR="0" wp14:anchorId="606E0875" wp14:editId="78476038">
            <wp:extent cx="2349407" cy="1412092"/>
            <wp:effectExtent l="0" t="0" r="0" b="0"/>
            <wp:docPr id="61" name="Grafik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84723" cy="1433318"/>
                    </a:xfrm>
                    <a:prstGeom prst="rect">
                      <a:avLst/>
                    </a:prstGeom>
                    <a:noFill/>
                  </pic:spPr>
                </pic:pic>
              </a:graphicData>
            </a:graphic>
          </wp:inline>
        </w:drawing>
      </w:r>
    </w:p>
    <w:p w:rsidR="0090409E" w:rsidRDefault="00BF2AE5" w:rsidP="00763584">
      <w:pPr>
        <w:pStyle w:val="Listenabsatz"/>
      </w:pPr>
      <w:r>
        <w:t xml:space="preserve">D.h. der Autokorrelationskoeffizient trifft eine Aussage dazu, ob Abweichungen vom Mittelwert zu einem bestimmten Zeitpunkt im Saisonzyklus wiederkehrend sind. Da dies mit </w:t>
      </w:r>
      <w:r>
        <w:lastRenderedPageBreak/>
        <w:t xml:space="preserve">der Definition saisonaler Schwankungen als wiederkehrendes Muster im Jahr </w:t>
      </w:r>
      <w:r w:rsidR="00DB6948">
        <w:t>übereinstimmt</w:t>
      </w:r>
      <w:r>
        <w:t xml:space="preserve">, kann daraus auf das Vorliegen einer Saison geschlossen werden. </w:t>
      </w:r>
    </w:p>
    <w:p w:rsidR="00D52A67" w:rsidRDefault="00BF2AE5" w:rsidP="00D52A67">
      <w:pPr>
        <w:ind w:left="708"/>
      </w:pPr>
      <w:r>
        <w:t xml:space="preserve">Generell </w:t>
      </w:r>
      <w:r w:rsidR="00D52A67">
        <w:t xml:space="preserve">ist jedoch zu beachten, dass (Auto-)Korrelation nicht auf Kausalität schließen lässt. D.h. das auch bei hoher Autokorrelation können die Verbrauchswerte rein zufällig schwanken, ohne dass ein wiederkehrendes prognostizierbares Saisonmuster vorliegt. Bei langen Verbrauchsreihen kann die saisonale Schwankung auch nur einen Teil der Zeitreihe betreffen. </w:t>
      </w:r>
    </w:p>
    <w:p w:rsidR="00BF2AE5" w:rsidRDefault="00BF2AE5" w:rsidP="00D2093D">
      <w:pPr>
        <w:pStyle w:val="Listenabsatz"/>
      </w:pPr>
      <w:r>
        <w:t xml:space="preserve">Die </w:t>
      </w:r>
      <w:r w:rsidR="00D52A67">
        <w:t xml:space="preserve">DCF </w:t>
      </w:r>
      <w:r>
        <w:t>Prognosebewertung entscheidet da</w:t>
      </w:r>
      <w:r w:rsidR="00D2093D">
        <w:t xml:space="preserve">her </w:t>
      </w:r>
      <w:r>
        <w:t xml:space="preserve">weiterhin </w:t>
      </w:r>
      <w:r w:rsidR="00D2093D">
        <w:t xml:space="preserve">vorwiegend </w:t>
      </w:r>
      <w:r>
        <w:t>nach der</w:t>
      </w:r>
      <w:r w:rsidR="00D2093D">
        <w:t xml:space="preserve"> Höhe der ex Post Prognosefehler, d.h. nach der </w:t>
      </w:r>
      <w:r>
        <w:t xml:space="preserve">Passung </w:t>
      </w:r>
      <w:r w:rsidR="00D2093D">
        <w:t xml:space="preserve">zwischen </w:t>
      </w:r>
      <w:r>
        <w:t xml:space="preserve">Prognose </w:t>
      </w:r>
      <w:r w:rsidR="00D2093D">
        <w:t xml:space="preserve">und </w:t>
      </w:r>
      <w:r>
        <w:t>Verbrauch</w:t>
      </w:r>
      <w:r w:rsidR="00D2093D">
        <w:t>. S</w:t>
      </w:r>
      <w:r>
        <w:t>aisonal gekennzeichnete Zeitreihen</w:t>
      </w:r>
      <w:r w:rsidR="00D2093D">
        <w:t xml:space="preserve"> werden ggf. weiterhin mit </w:t>
      </w:r>
      <w:r>
        <w:t>einem nicht-saisonalen Verfahren prognostiziert</w:t>
      </w:r>
      <w:r w:rsidR="00D2093D">
        <w:t>, wenn dieses ex Post bessere Ergebnisse zeigt.</w:t>
      </w:r>
    </w:p>
    <w:p w:rsidR="0090409E" w:rsidRDefault="0090409E" w:rsidP="00763584">
      <w:pPr>
        <w:pStyle w:val="Listenabsatz"/>
      </w:pPr>
    </w:p>
    <w:p w:rsidR="00763584" w:rsidRPr="00741FF4" w:rsidRDefault="00763584" w:rsidP="00763584">
      <w:pPr>
        <w:pStyle w:val="Listenabsatz"/>
        <w:numPr>
          <w:ilvl w:val="0"/>
          <w:numId w:val="7"/>
        </w:numPr>
        <w:rPr>
          <w:b/>
          <w:u w:val="single"/>
        </w:rPr>
      </w:pPr>
      <w:r w:rsidRPr="00741FF4">
        <w:rPr>
          <w:b/>
          <w:u w:val="single"/>
        </w:rPr>
        <w:t>Signifikanzniveau ist abhängig von der Länge der Zeitreihe</w:t>
      </w:r>
    </w:p>
    <w:p w:rsidR="00DB6948" w:rsidRDefault="00D2093D" w:rsidP="00085605">
      <w:pPr>
        <w:pStyle w:val="Listenabsatz"/>
      </w:pPr>
      <w:r>
        <w:t xml:space="preserve">Bei der Ermittlung des Saisonindikators wird der Autokorrelationskoeffizient </w:t>
      </w:r>
      <w:r w:rsidR="00085605">
        <w:t xml:space="preserve">mittels t-Test </w:t>
      </w:r>
      <w:r>
        <w:t xml:space="preserve">auf statistische Signifikanz geprüft. </w:t>
      </w:r>
      <w:r w:rsidR="00085605">
        <w:t xml:space="preserve">Mit einer festgelegten Fehlerwahrscheinlichkeit können so rein zufällig gleichgerichtete Schwankungen abgegrenzt werden. </w:t>
      </w:r>
    </w:p>
    <w:p w:rsidR="00DB6948" w:rsidRDefault="00DB6948" w:rsidP="00085605">
      <w:pPr>
        <w:pStyle w:val="Listenabsatz"/>
      </w:pPr>
    </w:p>
    <w:p w:rsidR="00085605" w:rsidRDefault="00085605" w:rsidP="00085605">
      <w:pPr>
        <w:pStyle w:val="Listenabsatz"/>
      </w:pPr>
      <w:r>
        <w:t>Die Signifikanzschwelle ermittelt sich dabei in Abhängigkeit von</w:t>
      </w:r>
    </w:p>
    <w:p w:rsidR="00085605" w:rsidRDefault="00085605" w:rsidP="00085605">
      <w:pPr>
        <w:pStyle w:val="Listenabsatz"/>
        <w:numPr>
          <w:ilvl w:val="1"/>
          <w:numId w:val="6"/>
        </w:numPr>
      </w:pPr>
      <w:r>
        <w:t>der Länge der Verbrauchsreihe (=Anzahl Perioden) und</w:t>
      </w:r>
    </w:p>
    <w:p w:rsidR="00085605" w:rsidRDefault="00085605" w:rsidP="00085605">
      <w:pPr>
        <w:pStyle w:val="Listenabsatz"/>
        <w:numPr>
          <w:ilvl w:val="1"/>
          <w:numId w:val="6"/>
        </w:numPr>
      </w:pPr>
      <w:r>
        <w:t>dem festgelegten Signifikanzniveau (Default 5%).</w:t>
      </w:r>
    </w:p>
    <w:p w:rsidR="007001F7" w:rsidRDefault="007001F7" w:rsidP="007001F7">
      <w:pPr>
        <w:ind w:left="708"/>
      </w:pPr>
      <w:r>
        <w:t xml:space="preserve">Mit steigender Länge der </w:t>
      </w:r>
      <w:r w:rsidR="00DB6948">
        <w:t>Verbrauchsreihe</w:t>
      </w:r>
      <w:r>
        <w:t xml:space="preserve"> sinkt die Signifikanzschwelle</w:t>
      </w:r>
      <w:r w:rsidR="00DB6948">
        <w:t>, da lange Zeitreihen üblicherweise mehr von zufälliger Varianz (im Sinne von weißem Rauschen) betroffen sind</w:t>
      </w:r>
      <w:r>
        <w:t>. Die Zeitreihenlänge im DCF ist dabei abhängig von der Periodizität der Planung (Monat/Woche).</w:t>
      </w:r>
    </w:p>
    <w:p w:rsidR="00DB6948" w:rsidRDefault="007001F7" w:rsidP="007001F7">
      <w:pPr>
        <w:ind w:left="708"/>
      </w:pPr>
      <w:r>
        <w:t>Ein Signifikanzniveau von 5 % bedeutet, dass auch bei Vorliegen völlig zufälliger Zeitreihen ohne regelmäßige Schwankungen in 1 von 20 Fällen die Nullhypothese (keine signifikante Autokorrelation) fälschlicherweise abgelehnt w</w:t>
      </w:r>
      <w:r w:rsidR="00DB6948">
        <w:t>erden kann</w:t>
      </w:r>
      <w:r>
        <w:t xml:space="preserve"> (sog. Fehler 1. Art). </w:t>
      </w:r>
    </w:p>
    <w:p w:rsidR="007001F7" w:rsidRDefault="007001F7" w:rsidP="007001F7">
      <w:pPr>
        <w:ind w:left="708"/>
      </w:pPr>
      <w:r>
        <w:t>Das Signifikanzniveau kann im DCF mittels Kundenimplementierung angepasst werden (Attribut MF_SIG_LEVEL).</w:t>
      </w:r>
    </w:p>
    <w:p w:rsidR="007001F7" w:rsidRPr="00B152D4" w:rsidRDefault="00085605" w:rsidP="007001F7">
      <w:pPr>
        <w:ind w:left="360" w:firstLine="348"/>
        <w:rPr>
          <w:b/>
          <w:i/>
        </w:rPr>
      </w:pPr>
      <w:r w:rsidRPr="00B152D4">
        <w:rPr>
          <w:b/>
          <w:i/>
        </w:rPr>
        <w:t xml:space="preserve">Beispiel: </w:t>
      </w:r>
    </w:p>
    <w:p w:rsidR="00085605" w:rsidRDefault="00085605" w:rsidP="007001F7">
      <w:pPr>
        <w:ind w:left="708"/>
      </w:pPr>
      <w:r>
        <w:t>Signifikanzschwelle in Abhängigkeit vom Signifikanzniveau und der Zeitreihenlänge (2 Jahre / 3 Jahre</w:t>
      </w:r>
      <w:r w:rsidR="007001F7">
        <w:t xml:space="preserve"> </w:t>
      </w:r>
      <w:r>
        <w:t>/ 4 Jahre)</w:t>
      </w:r>
    </w:p>
    <w:p w:rsidR="00085605" w:rsidRDefault="00085605" w:rsidP="007001F7">
      <w:pPr>
        <w:ind w:left="360"/>
        <w:jc w:val="center"/>
      </w:pPr>
      <w:r w:rsidRPr="00741FF4">
        <w:rPr>
          <w:noProof/>
          <w:lang w:eastAsia="de-DE"/>
        </w:rPr>
        <w:drawing>
          <wp:inline distT="0" distB="0" distL="0" distR="0" wp14:anchorId="7F8B3AF5" wp14:editId="1B61BF05">
            <wp:extent cx="1585512" cy="1010423"/>
            <wp:effectExtent l="0" t="0" r="0" b="0"/>
            <wp:docPr id="20" name="Grafi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597959" cy="1018355"/>
                    </a:xfrm>
                    <a:prstGeom prst="rect">
                      <a:avLst/>
                    </a:prstGeom>
                    <a:noFill/>
                    <a:ln>
                      <a:noFill/>
                    </a:ln>
                  </pic:spPr>
                </pic:pic>
              </a:graphicData>
            </a:graphic>
          </wp:inline>
        </w:drawing>
      </w:r>
    </w:p>
    <w:p w:rsidR="007001F7" w:rsidRPr="00741FF4" w:rsidRDefault="007001F7" w:rsidP="007001F7">
      <w:pPr>
        <w:pStyle w:val="Listenabsatz"/>
        <w:numPr>
          <w:ilvl w:val="0"/>
          <w:numId w:val="7"/>
        </w:numPr>
        <w:rPr>
          <w:b/>
          <w:u w:val="single"/>
        </w:rPr>
      </w:pPr>
      <w:r>
        <w:rPr>
          <w:b/>
          <w:u w:val="single"/>
        </w:rPr>
        <w:t>Sporadische Verbrauchsreihen</w:t>
      </w:r>
    </w:p>
    <w:p w:rsidR="003D403A" w:rsidRDefault="007001F7" w:rsidP="000105AB">
      <w:pPr>
        <w:ind w:left="708"/>
      </w:pPr>
      <w:r>
        <w:t>Sporadische Verbrauchsreihen</w:t>
      </w:r>
      <w:r w:rsidR="003D403A">
        <w:t xml:space="preserve"> (Z klassifiziert)</w:t>
      </w:r>
      <w:r>
        <w:t xml:space="preserve"> weisen einen hohen Anteil Perioden </w:t>
      </w:r>
      <w:r w:rsidR="003D403A">
        <w:t xml:space="preserve">ohne Verbrauch </w:t>
      </w:r>
      <w:r>
        <w:t xml:space="preserve">auf. </w:t>
      </w:r>
      <w:r w:rsidR="003D403A">
        <w:t xml:space="preserve">Mit steigendem Nullperiodenanteil steigt auch die Wahrscheinlichkeit, dass korrespondierende Perioden im Saisonzyklus (z.B. Mai) zufällig (und nicht aufgrund einer regulären Schwankung) jeweils einen </w:t>
      </w:r>
      <w:proofErr w:type="spellStart"/>
      <w:r w:rsidR="003D403A">
        <w:t>Nullwert</w:t>
      </w:r>
      <w:proofErr w:type="spellEnd"/>
      <w:r w:rsidR="003D403A">
        <w:t xml:space="preserve"> ausweisen. Hoch saisonale Materialien </w:t>
      </w:r>
      <w:r w:rsidR="003D403A">
        <w:lastRenderedPageBreak/>
        <w:t>(ebenfalls Z klassifiziert, z.B. Weihnachtsschmuck) können als Teil ihres saisonalen Musters ebenfalls hohe Nullperiodenanteile aufweisen.</w:t>
      </w:r>
    </w:p>
    <w:p w:rsidR="000105AB" w:rsidRDefault="007001F7" w:rsidP="000105AB">
      <w:pPr>
        <w:ind w:left="708"/>
      </w:pPr>
      <w:r>
        <w:t>D.h. der Saisonindikator kann im Bereich der Z</w:t>
      </w:r>
      <w:r w:rsidR="003D403A">
        <w:t xml:space="preserve"> klassifizierten </w:t>
      </w:r>
      <w:r>
        <w:t>Materialien</w:t>
      </w:r>
      <w:r w:rsidR="003D403A">
        <w:t xml:space="preserve"> mit Nullperiodenanteil </w:t>
      </w:r>
      <w:r>
        <w:t>nicht sicher zwischen hoch</w:t>
      </w:r>
      <w:r w:rsidR="003D403A">
        <w:t xml:space="preserve"> </w:t>
      </w:r>
      <w:r>
        <w:t xml:space="preserve">saisonalen </w:t>
      </w:r>
      <w:r w:rsidR="00DB6948">
        <w:t xml:space="preserve">und </w:t>
      </w:r>
      <w:r w:rsidR="003D403A">
        <w:t xml:space="preserve">sporadischen </w:t>
      </w:r>
      <w:r>
        <w:t>Verbrauch</w:t>
      </w:r>
      <w:r w:rsidR="003D403A">
        <w:t>sverläufen</w:t>
      </w:r>
      <w:r>
        <w:t xml:space="preserve"> unterscheiden. Dies sollte bei der Nutzung des Saisonindikators als Trackingsignal berücksichtigt werden</w:t>
      </w:r>
      <w:r w:rsidR="003D403A">
        <w:t>, z.B.</w:t>
      </w:r>
      <w:r w:rsidR="00DB6948">
        <w:t xml:space="preserve"> durch</w:t>
      </w:r>
    </w:p>
    <w:p w:rsidR="003D403A" w:rsidRDefault="00DB6948" w:rsidP="000105AB">
      <w:pPr>
        <w:pStyle w:val="Listenabsatz"/>
        <w:numPr>
          <w:ilvl w:val="1"/>
          <w:numId w:val="6"/>
        </w:numPr>
      </w:pPr>
      <w:r>
        <w:t>N</w:t>
      </w:r>
      <w:r w:rsidR="003D403A">
        <w:t xml:space="preserve">iedrige Auf-/Abwertung </w:t>
      </w:r>
      <w:r>
        <w:t>durch den</w:t>
      </w:r>
      <w:r w:rsidR="003D403A">
        <w:t xml:space="preserve"> Saisonindikator bei überwiegend sporadischem Materialspektrum,</w:t>
      </w:r>
    </w:p>
    <w:p w:rsidR="007001F7" w:rsidRDefault="003D403A" w:rsidP="000105AB">
      <w:pPr>
        <w:pStyle w:val="Listenabsatz"/>
        <w:numPr>
          <w:ilvl w:val="1"/>
          <w:numId w:val="6"/>
        </w:numPr>
      </w:pPr>
      <w:r>
        <w:t xml:space="preserve">Ausschluss </w:t>
      </w:r>
      <w:r w:rsidR="007001F7">
        <w:t>saisonale</w:t>
      </w:r>
      <w:r>
        <w:t>r</w:t>
      </w:r>
      <w:r w:rsidR="007001F7">
        <w:t xml:space="preserve"> Prognoseverfahren </w:t>
      </w:r>
      <w:r>
        <w:t>durch Abwertung im F</w:t>
      </w:r>
      <w:r w:rsidR="007001F7">
        <w:t xml:space="preserve">all </w:t>
      </w:r>
      <w:r>
        <w:t xml:space="preserve">eines </w:t>
      </w:r>
      <w:r w:rsidR="007001F7">
        <w:t>hohe</w:t>
      </w:r>
      <w:r>
        <w:t>n</w:t>
      </w:r>
      <w:r w:rsidR="007001F7">
        <w:t xml:space="preserve"> Nullverbra</w:t>
      </w:r>
      <w:r>
        <w:t>uchsperiodenanteils (Trackingsignal PN „Prozentualer Anteil Nullperioden“)</w:t>
      </w:r>
      <w:r w:rsidR="000105AB">
        <w:t>.</w:t>
      </w:r>
    </w:p>
    <w:p w:rsidR="007001F7" w:rsidRPr="00B152D4" w:rsidRDefault="007001F7" w:rsidP="000105AB">
      <w:pPr>
        <w:ind w:left="360" w:firstLine="348"/>
        <w:rPr>
          <w:b/>
          <w:i/>
        </w:rPr>
      </w:pPr>
      <w:r w:rsidRPr="00B152D4">
        <w:rPr>
          <w:b/>
          <w:i/>
        </w:rPr>
        <w:t xml:space="preserve">Beispiel: </w:t>
      </w:r>
    </w:p>
    <w:p w:rsidR="000105AB" w:rsidRDefault="000105AB" w:rsidP="000105AB">
      <w:pPr>
        <w:ind w:firstLine="708"/>
      </w:pPr>
      <w:r>
        <w:t xml:space="preserve">Sporadischer Verbrauch: </w:t>
      </w:r>
    </w:p>
    <w:p w:rsidR="000105AB" w:rsidRDefault="000105AB" w:rsidP="000105AB">
      <w:pPr>
        <w:pStyle w:val="Listenabsatz"/>
        <w:numPr>
          <w:ilvl w:val="1"/>
          <w:numId w:val="6"/>
        </w:numPr>
      </w:pPr>
      <w:r>
        <w:t>Z-Material (VK: 1,938) mit hohem Nullperiodenanteil (70,83%)</w:t>
      </w:r>
    </w:p>
    <w:p w:rsidR="000105AB" w:rsidRDefault="000105AB" w:rsidP="000105AB">
      <w:pPr>
        <w:pStyle w:val="Listenabsatz"/>
        <w:numPr>
          <w:ilvl w:val="1"/>
          <w:numId w:val="6"/>
        </w:numPr>
      </w:pPr>
      <w:r>
        <w:t xml:space="preserve">Autokorrelationskoeffizient: 0,47 / Signifikanzschwelle: 0,4 / </w:t>
      </w:r>
      <w:r w:rsidRPr="001B58EF">
        <w:rPr>
          <w:b/>
        </w:rPr>
        <w:t>SI: 1</w:t>
      </w:r>
      <w:r w:rsidR="001B58EF">
        <w:rPr>
          <w:b/>
        </w:rPr>
        <w:t>.</w:t>
      </w:r>
    </w:p>
    <w:p w:rsidR="000105AB" w:rsidRDefault="000105AB" w:rsidP="000105AB">
      <w:pPr>
        <w:ind w:left="708"/>
      </w:pPr>
      <w:r>
        <w:t>Extreme Saison:</w:t>
      </w:r>
    </w:p>
    <w:p w:rsidR="000105AB" w:rsidRDefault="000105AB" w:rsidP="000105AB">
      <w:pPr>
        <w:pStyle w:val="Listenabsatz"/>
        <w:numPr>
          <w:ilvl w:val="1"/>
          <w:numId w:val="6"/>
        </w:numPr>
      </w:pPr>
      <w:r>
        <w:t>Z-Material (VK: 1,034) mit hohem Nullperiodenanteil (41,67%)</w:t>
      </w:r>
    </w:p>
    <w:p w:rsidR="000105AB" w:rsidRDefault="000105AB" w:rsidP="000105AB">
      <w:pPr>
        <w:pStyle w:val="Listenabsatz"/>
        <w:numPr>
          <w:ilvl w:val="1"/>
          <w:numId w:val="6"/>
        </w:numPr>
      </w:pPr>
      <w:r>
        <w:t xml:space="preserve">Autokorrelationskoeffizient: 0,92 / Signifikanzschwelle: 0,4 / </w:t>
      </w:r>
      <w:r w:rsidRPr="001B58EF">
        <w:rPr>
          <w:b/>
        </w:rPr>
        <w:t>SI: 1</w:t>
      </w:r>
      <w:r w:rsidR="001B58EF">
        <w:rPr>
          <w:b/>
        </w:rPr>
        <w:t>.</w:t>
      </w:r>
    </w:p>
    <w:p w:rsidR="007001F7" w:rsidRDefault="000105AB" w:rsidP="007001F7">
      <w:pPr>
        <w:ind w:left="360"/>
      </w:pPr>
      <w:r>
        <w:tab/>
      </w:r>
      <w:r w:rsidRPr="00741FF4">
        <w:rPr>
          <w:noProof/>
          <w:lang w:eastAsia="de-DE"/>
        </w:rPr>
        <w:drawing>
          <wp:inline distT="0" distB="0" distL="0" distR="0" wp14:anchorId="5601957D" wp14:editId="15D0B8CD">
            <wp:extent cx="5249457" cy="276860"/>
            <wp:effectExtent l="0" t="0" r="8890" b="8890"/>
            <wp:docPr id="19"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64030" cy="277629"/>
                    </a:xfrm>
                    <a:prstGeom prst="rect">
                      <a:avLst/>
                    </a:prstGeom>
                    <a:noFill/>
                    <a:ln>
                      <a:noFill/>
                    </a:ln>
                  </pic:spPr>
                </pic:pic>
              </a:graphicData>
            </a:graphic>
          </wp:inline>
        </w:drawing>
      </w:r>
    </w:p>
    <w:p w:rsidR="007001F7" w:rsidRDefault="007001F7" w:rsidP="000105AB">
      <w:pPr>
        <w:ind w:left="360" w:firstLine="348"/>
        <w:jc w:val="center"/>
      </w:pPr>
      <w:r>
        <w:rPr>
          <w:noProof/>
          <w:lang w:eastAsia="de-DE"/>
        </w:rPr>
        <w:drawing>
          <wp:inline distT="0" distB="0" distL="0" distR="0" wp14:anchorId="58298F0A" wp14:editId="4D6151F1">
            <wp:extent cx="2252948" cy="1354265"/>
            <wp:effectExtent l="0" t="0" r="0" b="0"/>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262244" cy="1359853"/>
                    </a:xfrm>
                    <a:prstGeom prst="rect">
                      <a:avLst/>
                    </a:prstGeom>
                    <a:noFill/>
                  </pic:spPr>
                </pic:pic>
              </a:graphicData>
            </a:graphic>
          </wp:inline>
        </w:drawing>
      </w:r>
      <w:r w:rsidR="000105AB">
        <w:rPr>
          <w:noProof/>
          <w:lang w:eastAsia="de-DE"/>
        </w:rPr>
        <w:t xml:space="preserve">     </w:t>
      </w:r>
      <w:r>
        <w:rPr>
          <w:noProof/>
          <w:lang w:eastAsia="de-DE"/>
        </w:rPr>
        <w:drawing>
          <wp:inline distT="0" distB="0" distL="0" distR="0" wp14:anchorId="29916631" wp14:editId="4A0A1EE5">
            <wp:extent cx="2249291" cy="1352066"/>
            <wp:effectExtent l="0" t="0" r="0" b="635"/>
            <wp:docPr id="18" name="Grafi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267656" cy="1363105"/>
                    </a:xfrm>
                    <a:prstGeom prst="rect">
                      <a:avLst/>
                    </a:prstGeom>
                    <a:noFill/>
                  </pic:spPr>
                </pic:pic>
              </a:graphicData>
            </a:graphic>
          </wp:inline>
        </w:drawing>
      </w:r>
    </w:p>
    <w:p w:rsidR="006225CD" w:rsidRPr="00B152D4" w:rsidRDefault="00B152D4" w:rsidP="00961082">
      <w:pPr>
        <w:pStyle w:val="Listenabsatz"/>
        <w:numPr>
          <w:ilvl w:val="0"/>
          <w:numId w:val="7"/>
        </w:numPr>
        <w:rPr>
          <w:b/>
          <w:u w:val="single"/>
        </w:rPr>
      </w:pPr>
      <w:r>
        <w:rPr>
          <w:b/>
          <w:u w:val="single"/>
        </w:rPr>
        <w:t>Ausreißer</w:t>
      </w:r>
    </w:p>
    <w:p w:rsidR="00B152D4" w:rsidRDefault="00B152D4" w:rsidP="00B152D4">
      <w:pPr>
        <w:pStyle w:val="Listenabsatz"/>
      </w:pPr>
      <w:r>
        <w:t xml:space="preserve">Der Autokorrelationskoeffizient kann stark durch Ausreißer (i.S. stark abweichender Verbrauchswerte) beeinflusst werden. Vor der Prognose sollte daher die DCF </w:t>
      </w:r>
      <w:proofErr w:type="spellStart"/>
      <w:r>
        <w:t>Ausreißerbereinigung</w:t>
      </w:r>
      <w:proofErr w:type="spellEnd"/>
      <w:r>
        <w:t xml:space="preserve"> durchgeführt werden. </w:t>
      </w:r>
    </w:p>
    <w:p w:rsidR="00B152D4" w:rsidRDefault="00B152D4" w:rsidP="00B152D4">
      <w:pPr>
        <w:pStyle w:val="Listenabsatz"/>
      </w:pPr>
    </w:p>
    <w:p w:rsidR="00B152D4" w:rsidRDefault="00DB6948" w:rsidP="00B152D4">
      <w:pPr>
        <w:pStyle w:val="Listenabsatz"/>
        <w:rPr>
          <w:rFonts w:eastAsiaTheme="minorEastAsia"/>
        </w:rPr>
      </w:pPr>
      <w:r>
        <w:t>Ein</w:t>
      </w:r>
      <w:r w:rsidR="00B152D4">
        <w:t xml:space="preserve"> Ausreißer ist </w:t>
      </w:r>
      <w:r w:rsidR="001B58EF">
        <w:t xml:space="preserve">(je nach Zeitpunkt des Auftretens in der Zeitreihe) </w:t>
      </w:r>
      <w:r w:rsidR="00B152D4">
        <w:t xml:space="preserve">Teil </w:t>
      </w:r>
      <w:r w:rsidR="001B58EF">
        <w:t xml:space="preserve">der verglichenen Wertpaare </w:t>
      </w:r>
      <m:oMath>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t-L</m:t>
            </m:r>
          </m:sub>
        </m:sSub>
        <m:r>
          <w:rPr>
            <w:rFonts w:ascii="Cambria Math" w:hAnsi="Cambria Math"/>
          </w:rPr>
          <m:t xml:space="preserve">, </m:t>
        </m:r>
        <m:sSub>
          <m:sSubPr>
            <m:ctrlPr>
              <w:rPr>
                <w:rFonts w:ascii="Cambria Math" w:hAnsi="Cambria Math"/>
                <w:i/>
              </w:rPr>
            </m:ctrlPr>
          </m:sSubPr>
          <m:e>
            <m:r>
              <w:rPr>
                <w:rFonts w:ascii="Cambria Math" w:hAnsi="Cambria Math"/>
              </w:rPr>
              <m:t>x</m:t>
            </m:r>
          </m:e>
          <m:sub>
            <m:r>
              <w:rPr>
                <w:rFonts w:ascii="Cambria Math" w:hAnsi="Cambria Math"/>
              </w:rPr>
              <m:t>t</m:t>
            </m:r>
          </m:sub>
        </m:sSub>
        <m:r>
          <w:rPr>
            <w:rFonts w:ascii="Cambria Math" w:hAnsi="Cambria Math"/>
          </w:rPr>
          <m:t>)</m:t>
        </m:r>
      </m:oMath>
      <w:r w:rsidR="00B152D4">
        <w:rPr>
          <w:rFonts w:eastAsiaTheme="minorEastAsia"/>
        </w:rPr>
        <w:t xml:space="preserve"> und </w:t>
      </w:r>
      <m:oMath>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m:t>
            </m:r>
          </m:sub>
        </m:sSub>
        <m:r>
          <w:rPr>
            <w:rFonts w:ascii="Cambria Math" w:hAnsi="Cambria Math"/>
          </w:rPr>
          <m:t xml:space="preserve">, </m:t>
        </m:r>
        <m:sSub>
          <m:sSubPr>
            <m:ctrlPr>
              <w:rPr>
                <w:rFonts w:ascii="Cambria Math" w:hAnsi="Cambria Math"/>
                <w:i/>
              </w:rPr>
            </m:ctrlPr>
          </m:sSubPr>
          <m:e>
            <m:r>
              <w:rPr>
                <w:rFonts w:ascii="Cambria Math" w:hAnsi="Cambria Math"/>
              </w:rPr>
              <m:t>x</m:t>
            </m:r>
          </m:e>
          <m:sub>
            <m:r>
              <w:rPr>
                <w:rFonts w:ascii="Cambria Math" w:hAnsi="Cambria Math"/>
              </w:rPr>
              <m:t>t+L</m:t>
            </m:r>
          </m:sub>
        </m:sSub>
        <m:r>
          <w:rPr>
            <w:rFonts w:ascii="Cambria Math" w:hAnsi="Cambria Math"/>
          </w:rPr>
          <m:t>)</m:t>
        </m:r>
      </m:oMath>
      <w:r w:rsidR="001B58EF">
        <w:rPr>
          <w:rFonts w:eastAsiaTheme="minorEastAsia"/>
        </w:rPr>
        <w:t>. Tritt in den korrespondierenden Perioden im vorherigen oder nächsten Saisonzyklus eine gleichgerichtete Abweichung vom Mittelwert auf, erhöht sich der</w:t>
      </w:r>
      <w:r w:rsidR="00B152D4">
        <w:rPr>
          <w:rFonts w:eastAsiaTheme="minorEastAsia"/>
        </w:rPr>
        <w:t xml:space="preserve"> Zähler</w:t>
      </w:r>
      <w:r w:rsidR="001B58EF">
        <w:rPr>
          <w:rFonts w:eastAsiaTheme="minorEastAsia"/>
        </w:rPr>
        <w:t xml:space="preserve"> und damit der Autokorrelationskoeffizient</w:t>
      </w:r>
      <w:r w:rsidR="00B152D4">
        <w:rPr>
          <w:rFonts w:eastAsiaTheme="minorEastAsia"/>
        </w:rPr>
        <w:t>.</w:t>
      </w:r>
    </w:p>
    <w:p w:rsidR="00B152D4" w:rsidRDefault="00B152D4" w:rsidP="00B152D4">
      <w:pPr>
        <w:pStyle w:val="Listenabsatz"/>
      </w:pPr>
    </w:p>
    <w:p w:rsidR="001B58EF" w:rsidRPr="001B58EF" w:rsidRDefault="00B152D4" w:rsidP="00B152D4">
      <w:pPr>
        <w:pStyle w:val="Listenabsatz"/>
        <w:rPr>
          <w:b/>
          <w:i/>
        </w:rPr>
      </w:pPr>
      <w:r w:rsidRPr="001B58EF">
        <w:rPr>
          <w:b/>
          <w:i/>
        </w:rPr>
        <w:t>Beispiel</w:t>
      </w:r>
      <w:r w:rsidR="001B58EF" w:rsidRPr="001B58EF">
        <w:rPr>
          <w:b/>
          <w:i/>
        </w:rPr>
        <w:t>:</w:t>
      </w:r>
    </w:p>
    <w:p w:rsidR="001B58EF" w:rsidRDefault="001B58EF" w:rsidP="001B58EF">
      <w:pPr>
        <w:ind w:firstLine="708"/>
      </w:pPr>
      <w:r>
        <w:t xml:space="preserve">Verbrauchsreihe (X klassifiziert): </w:t>
      </w:r>
    </w:p>
    <w:p w:rsidR="001B58EF" w:rsidRDefault="001B58EF" w:rsidP="001B58EF">
      <w:pPr>
        <w:pStyle w:val="Listenabsatz"/>
        <w:numPr>
          <w:ilvl w:val="1"/>
          <w:numId w:val="6"/>
        </w:numPr>
      </w:pPr>
      <w:r>
        <w:t xml:space="preserve">Autokorrelationskoeffizient: 0,28 / Signifikanzschwelle: 0,4 / </w:t>
      </w:r>
      <w:r w:rsidRPr="001B58EF">
        <w:rPr>
          <w:b/>
        </w:rPr>
        <w:t>SI: 0</w:t>
      </w:r>
      <w:r>
        <w:rPr>
          <w:b/>
        </w:rPr>
        <w:t>.</w:t>
      </w:r>
    </w:p>
    <w:p w:rsidR="001B58EF" w:rsidRDefault="001B58EF" w:rsidP="001B58EF">
      <w:pPr>
        <w:ind w:firstLine="708"/>
      </w:pPr>
      <w:r>
        <w:t>Einfügen eines Ausreißers in Periode 3:</w:t>
      </w:r>
    </w:p>
    <w:p w:rsidR="001B58EF" w:rsidRDefault="001B58EF" w:rsidP="001B58EF">
      <w:pPr>
        <w:pStyle w:val="Listenabsatz"/>
        <w:numPr>
          <w:ilvl w:val="1"/>
          <w:numId w:val="6"/>
        </w:numPr>
      </w:pPr>
      <w:r>
        <w:lastRenderedPageBreak/>
        <w:t xml:space="preserve">Autokorrelationskoeffizient: 0,41 / Signifikanzschwelle: 0,4 / </w:t>
      </w:r>
      <w:r w:rsidRPr="001B58EF">
        <w:rPr>
          <w:b/>
        </w:rPr>
        <w:t>SI: 1</w:t>
      </w:r>
      <w:r>
        <w:t>.</w:t>
      </w:r>
    </w:p>
    <w:p w:rsidR="001B58EF" w:rsidRDefault="001B58EF" w:rsidP="001B58EF">
      <w:pPr>
        <w:pStyle w:val="Listenabsatz"/>
        <w:ind w:left="1440"/>
      </w:pPr>
    </w:p>
    <w:p w:rsidR="00B152D4" w:rsidRDefault="00B152D4" w:rsidP="00B152D4">
      <w:pPr>
        <w:pStyle w:val="Listenabsatz"/>
      </w:pPr>
      <w:r w:rsidRPr="00F8377E">
        <w:rPr>
          <w:noProof/>
          <w:lang w:eastAsia="de-DE"/>
        </w:rPr>
        <w:drawing>
          <wp:inline distT="0" distB="0" distL="0" distR="0" wp14:anchorId="198DDF55" wp14:editId="72BD77D9">
            <wp:extent cx="5326610" cy="256009"/>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395111" cy="259301"/>
                    </a:xfrm>
                    <a:prstGeom prst="rect">
                      <a:avLst/>
                    </a:prstGeom>
                    <a:noFill/>
                    <a:ln>
                      <a:noFill/>
                    </a:ln>
                  </pic:spPr>
                </pic:pic>
              </a:graphicData>
            </a:graphic>
          </wp:inline>
        </w:drawing>
      </w:r>
    </w:p>
    <w:p w:rsidR="00570142" w:rsidRDefault="00570142" w:rsidP="00B152D4">
      <w:pPr>
        <w:pStyle w:val="Listenabsatz"/>
      </w:pPr>
    </w:p>
    <w:p w:rsidR="00B152D4" w:rsidRDefault="00B152D4" w:rsidP="001B58EF">
      <w:pPr>
        <w:pStyle w:val="Listenabsatz"/>
        <w:jc w:val="center"/>
      </w:pPr>
      <w:r>
        <w:rPr>
          <w:noProof/>
          <w:lang w:eastAsia="de-DE"/>
        </w:rPr>
        <w:drawing>
          <wp:inline distT="0" distB="0" distL="0" distR="0" wp14:anchorId="69ABB3F8" wp14:editId="7B241FE9">
            <wp:extent cx="2566327" cy="1537081"/>
            <wp:effectExtent l="0" t="0" r="5715" b="635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588657" cy="1550455"/>
                    </a:xfrm>
                    <a:prstGeom prst="rect">
                      <a:avLst/>
                    </a:prstGeom>
                    <a:noFill/>
                  </pic:spPr>
                </pic:pic>
              </a:graphicData>
            </a:graphic>
          </wp:inline>
        </w:drawing>
      </w:r>
      <w:r>
        <w:rPr>
          <w:noProof/>
          <w:lang w:eastAsia="de-DE"/>
        </w:rPr>
        <w:drawing>
          <wp:inline distT="0" distB="0" distL="0" distR="0" wp14:anchorId="33E92049" wp14:editId="11886711">
            <wp:extent cx="2581261" cy="1546026"/>
            <wp:effectExtent l="0" t="0" r="0" b="0"/>
            <wp:docPr id="16"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597060" cy="1555489"/>
                    </a:xfrm>
                    <a:prstGeom prst="rect">
                      <a:avLst/>
                    </a:prstGeom>
                    <a:noFill/>
                  </pic:spPr>
                </pic:pic>
              </a:graphicData>
            </a:graphic>
          </wp:inline>
        </w:drawing>
      </w:r>
    </w:p>
    <w:p w:rsidR="00B152D4" w:rsidRDefault="00B152D4" w:rsidP="00B152D4">
      <w:pPr>
        <w:pStyle w:val="Listenabsatz"/>
      </w:pPr>
    </w:p>
    <w:p w:rsidR="000967DC" w:rsidRDefault="001B58EF" w:rsidP="00B152D4">
      <w:pPr>
        <w:pStyle w:val="Listenabsatz"/>
      </w:pPr>
      <w:r>
        <w:t xml:space="preserve">Die DCF </w:t>
      </w:r>
      <w:proofErr w:type="spellStart"/>
      <w:r>
        <w:t>Ausreißerbereinigung</w:t>
      </w:r>
      <w:proofErr w:type="spellEnd"/>
      <w:r>
        <w:t xml:space="preserve"> würde in diesem Fall in Periode 3 den Ausreißer erkennen und auf den oberen Trendkanal korrigieren (</w:t>
      </w:r>
      <w:r w:rsidR="000967DC">
        <w:t>Trendkanal per Standardabweichung mit 2,5).</w:t>
      </w:r>
    </w:p>
    <w:p w:rsidR="001B58EF" w:rsidRDefault="001B58EF" w:rsidP="00B152D4">
      <w:pPr>
        <w:pStyle w:val="Listenabsatz"/>
      </w:pPr>
      <w:r>
        <w:t xml:space="preserve"> </w:t>
      </w:r>
    </w:p>
    <w:p w:rsidR="001B58EF" w:rsidRDefault="001B58EF" w:rsidP="00B152D4">
      <w:pPr>
        <w:pStyle w:val="Listenabsatz"/>
      </w:pPr>
      <w:r>
        <w:t>Verbrauchsreihe mit korrigiertem Ausreißer:</w:t>
      </w:r>
    </w:p>
    <w:p w:rsidR="001B58EF" w:rsidRDefault="001B58EF" w:rsidP="001B58EF">
      <w:pPr>
        <w:pStyle w:val="Listenabsatz"/>
        <w:numPr>
          <w:ilvl w:val="1"/>
          <w:numId w:val="6"/>
        </w:numPr>
      </w:pPr>
      <w:r>
        <w:t xml:space="preserve">Autokorrelationskoeffizient: 0,30 / Signifikanzschwelle: 0,4 / </w:t>
      </w:r>
      <w:r w:rsidRPr="001B58EF">
        <w:rPr>
          <w:b/>
        </w:rPr>
        <w:t>SI: 0</w:t>
      </w:r>
      <w:r>
        <w:t>.</w:t>
      </w:r>
    </w:p>
    <w:p w:rsidR="00570142" w:rsidRDefault="00570142" w:rsidP="00570142"/>
    <w:p w:rsidR="000967DC" w:rsidRPr="00B152D4" w:rsidRDefault="000967DC" w:rsidP="000967DC">
      <w:pPr>
        <w:pStyle w:val="Listenabsatz"/>
        <w:numPr>
          <w:ilvl w:val="0"/>
          <w:numId w:val="7"/>
        </w:numPr>
        <w:rPr>
          <w:b/>
          <w:u w:val="single"/>
        </w:rPr>
      </w:pPr>
      <w:r>
        <w:rPr>
          <w:b/>
          <w:u w:val="single"/>
        </w:rPr>
        <w:t xml:space="preserve">Größe des </w:t>
      </w:r>
      <w:proofErr w:type="spellStart"/>
      <w:r>
        <w:rPr>
          <w:b/>
          <w:u w:val="single"/>
        </w:rPr>
        <w:t>Lags</w:t>
      </w:r>
      <w:proofErr w:type="spellEnd"/>
    </w:p>
    <w:p w:rsidR="000967DC" w:rsidRDefault="000967DC" w:rsidP="000967DC">
      <w:pPr>
        <w:ind w:left="708"/>
      </w:pPr>
      <w:r>
        <w:t xml:space="preserve">In der Literatur wird die Prüfung des Autokorrelationskoeffizienten erst ab einem </w:t>
      </w:r>
      <w:r w:rsidRPr="000967DC">
        <w:rPr>
          <w:b/>
        </w:rPr>
        <w:t xml:space="preserve">Lag </w:t>
      </w:r>
      <w:r w:rsidRPr="000967DC">
        <w:rPr>
          <w:rFonts w:cstheme="minorHAnsi"/>
          <w:b/>
        </w:rPr>
        <w:t>≥</w:t>
      </w:r>
      <w:r w:rsidRPr="000967DC">
        <w:rPr>
          <w:b/>
        </w:rPr>
        <w:t xml:space="preserve"> 4</w:t>
      </w:r>
      <w:r>
        <w:t xml:space="preserve"> empfohlen. Generell tendieren benachbarte Zeitreihenwerte aufgrund ihrer inhaltlichen Verknüpfung zu höheren Autokorrelationskoeffizienten (d.h. der Verbrauch einer Periode ist inhaltlich/kausal mit dem Verbrauch der Nachbarperioden verbunden). </w:t>
      </w:r>
    </w:p>
    <w:p w:rsidR="000967DC" w:rsidRPr="00B152D4" w:rsidRDefault="00D7417B" w:rsidP="000967DC">
      <w:pPr>
        <w:pStyle w:val="Listenabsatz"/>
        <w:numPr>
          <w:ilvl w:val="0"/>
          <w:numId w:val="7"/>
        </w:numPr>
        <w:rPr>
          <w:b/>
          <w:u w:val="single"/>
        </w:rPr>
      </w:pPr>
      <w:r>
        <w:rPr>
          <w:b/>
          <w:u w:val="single"/>
        </w:rPr>
        <w:t>Prognose auf Wochenebene</w:t>
      </w:r>
    </w:p>
    <w:p w:rsidR="00D7417B" w:rsidRDefault="00D7417B" w:rsidP="00D7417B">
      <w:pPr>
        <w:pStyle w:val="Listenabsatz"/>
      </w:pPr>
    </w:p>
    <w:p w:rsidR="000967DC" w:rsidRDefault="00D7417B" w:rsidP="00D7417B">
      <w:pPr>
        <w:pStyle w:val="Listenabsatz"/>
      </w:pPr>
      <w:r>
        <w:t>Die Aussagekraft des Saisonindikators ist bei Verbrauchsreihen mit Periodizität Woche im Vergleich zu Monatsdaten eingeschränkt:</w:t>
      </w:r>
    </w:p>
    <w:p w:rsidR="000967DC" w:rsidRDefault="000967DC" w:rsidP="000967DC">
      <w:pPr>
        <w:pStyle w:val="Listenabsatz"/>
        <w:numPr>
          <w:ilvl w:val="1"/>
          <w:numId w:val="1"/>
        </w:numPr>
      </w:pPr>
      <w:r>
        <w:t xml:space="preserve">Lange </w:t>
      </w:r>
      <w:r w:rsidR="00D7417B">
        <w:t>Verbrauchsreihen</w:t>
      </w:r>
      <w:r>
        <w:t>, d.h. niedrigere Signifikanzschwelle für Autokorrelation</w:t>
      </w:r>
    </w:p>
    <w:p w:rsidR="00D7417B" w:rsidRDefault="00D7417B" w:rsidP="000967DC">
      <w:pPr>
        <w:pStyle w:val="Listenabsatz"/>
        <w:numPr>
          <w:ilvl w:val="1"/>
          <w:numId w:val="1"/>
        </w:numPr>
      </w:pPr>
      <w:r>
        <w:t>Generell höhere Varianz von Wochendaten</w:t>
      </w:r>
    </w:p>
    <w:p w:rsidR="00D7417B" w:rsidRDefault="00D7417B" w:rsidP="000967DC">
      <w:pPr>
        <w:pStyle w:val="Listenabsatz"/>
        <w:numPr>
          <w:ilvl w:val="1"/>
          <w:numId w:val="1"/>
        </w:numPr>
      </w:pPr>
      <w:r>
        <w:t>Reguläre Zeitreihenkomponenten wie Trend und Saison sind weniger deutlich ausgeprägt (stärkere Beeinflussung z.B. durch Kalendereffekte)</w:t>
      </w:r>
    </w:p>
    <w:p w:rsidR="000967DC" w:rsidRDefault="00D7417B" w:rsidP="000967DC">
      <w:pPr>
        <w:pStyle w:val="Listenabsatz"/>
        <w:numPr>
          <w:ilvl w:val="1"/>
          <w:numId w:val="1"/>
        </w:numPr>
      </w:pPr>
      <w:r>
        <w:t>Höherer Nullperiodenanteil.</w:t>
      </w:r>
    </w:p>
    <w:p w:rsidR="00D7417B" w:rsidRDefault="00D7417B" w:rsidP="00D7417B">
      <w:pPr>
        <w:ind w:left="708"/>
      </w:pPr>
      <w:r>
        <w:t>Damit ein Saisonmuster im Sinne der Autokorrelation – wie auch im Sinne der Saisonfaktoren der Prognoseverfahren – identifiziert werden kann, sollte bei der Planung auf Wochenebene zwingend von einem starren 52 oder 53 Wochen Jahreszyklus ausgegangen werden (52/53 Kalenderwochen Problem). Dies gilt analog für die Verwendung abweichender Geschäftsjahresvarianten.</w:t>
      </w:r>
    </w:p>
    <w:p w:rsidR="000967DC" w:rsidRDefault="000967DC" w:rsidP="00570142"/>
    <w:p w:rsidR="00570142" w:rsidRPr="003B0EF1" w:rsidRDefault="00570142" w:rsidP="00570142">
      <w:pPr>
        <w:rPr>
          <w:b/>
          <w:u w:val="single"/>
        </w:rPr>
      </w:pPr>
      <w:r w:rsidRPr="003B0EF1">
        <w:rPr>
          <w:b/>
          <w:u w:val="single"/>
        </w:rPr>
        <w:t>Testergebnisse</w:t>
      </w:r>
    </w:p>
    <w:p w:rsidR="003B0EF1" w:rsidRPr="005F06F4" w:rsidRDefault="003B0EF1" w:rsidP="00570142">
      <w:r w:rsidRPr="005F06F4">
        <w:t xml:space="preserve">Die Einbeziehung des Saisonindikators in die DCF Bewertung wurde auf Basis verschiedener Datensets getestet. Die im folgenden verwendeten Daten stammen aus dem </w:t>
      </w:r>
      <w:proofErr w:type="spellStart"/>
      <w:r w:rsidR="00207EB4" w:rsidRPr="005F06F4">
        <w:t>Testset</w:t>
      </w:r>
      <w:proofErr w:type="spellEnd"/>
      <w:r w:rsidR="00207EB4" w:rsidRPr="005F06F4">
        <w:t xml:space="preserve"> der M3</w:t>
      </w:r>
      <w:r w:rsidRPr="005F06F4">
        <w:t xml:space="preserve"> </w:t>
      </w:r>
      <w:proofErr w:type="spellStart"/>
      <w:r w:rsidRPr="005F06F4">
        <w:t>Competition</w:t>
      </w:r>
      <w:proofErr w:type="spellEnd"/>
      <w:r w:rsidRPr="005F06F4">
        <w:t xml:space="preserve"> mit Periodizität Monat. Sie enthalten einen hohen Anteil X klassifizierter Materialien</w:t>
      </w:r>
      <w:r w:rsidR="005F06F4">
        <w:t xml:space="preserve"> mit zum Teil s</w:t>
      </w:r>
      <w:r w:rsidRPr="005F06F4">
        <w:t>aisonalem Muster.</w:t>
      </w:r>
      <w:r w:rsidR="005F06F4">
        <w:t xml:space="preserve"> Keine Verbrauchsreihe besitzt Perioden ohne Bedarf, d.h. es sind keine </w:t>
      </w:r>
      <w:r w:rsidR="005F06F4">
        <w:lastRenderedPageBreak/>
        <w:t>sporadischen Materialien enthalten.</w:t>
      </w:r>
      <w:r w:rsidR="00376577">
        <w:t xml:space="preserve"> Der geringe Anteil Z klassifizierter Verbrauchsreihen berücksichtigt die generelle Problematik der schlechten Prognostizierbarkeit bei hoher Variabilität.</w:t>
      </w:r>
    </w:p>
    <w:tbl>
      <w:tblPr>
        <w:tblStyle w:val="Tabellenraster"/>
        <w:tblW w:w="0" w:type="auto"/>
        <w:jc w:val="center"/>
        <w:tblLook w:val="04A0" w:firstRow="1" w:lastRow="0" w:firstColumn="1" w:lastColumn="0" w:noHBand="0" w:noVBand="1"/>
      </w:tblPr>
      <w:tblGrid>
        <w:gridCol w:w="1040"/>
        <w:gridCol w:w="944"/>
        <w:gridCol w:w="993"/>
      </w:tblGrid>
      <w:tr w:rsidR="005F06F4" w:rsidRPr="005F06F4" w:rsidTr="005F06F4">
        <w:trPr>
          <w:jc w:val="center"/>
        </w:trPr>
        <w:tc>
          <w:tcPr>
            <w:tcW w:w="1040" w:type="dxa"/>
            <w:shd w:val="clear" w:color="auto" w:fill="BFBFBF" w:themeFill="background1" w:themeFillShade="BF"/>
          </w:tcPr>
          <w:p w:rsidR="005F06F4" w:rsidRPr="005F06F4" w:rsidRDefault="005F06F4" w:rsidP="00570142">
            <w:pPr>
              <w:rPr>
                <w:b/>
              </w:rPr>
            </w:pPr>
          </w:p>
        </w:tc>
        <w:tc>
          <w:tcPr>
            <w:tcW w:w="944" w:type="dxa"/>
            <w:shd w:val="clear" w:color="auto" w:fill="BFBFBF" w:themeFill="background1" w:themeFillShade="BF"/>
          </w:tcPr>
          <w:p w:rsidR="005F06F4" w:rsidRPr="005F06F4" w:rsidRDefault="005F06F4" w:rsidP="00570142">
            <w:pPr>
              <w:rPr>
                <w:b/>
              </w:rPr>
            </w:pPr>
            <w:r w:rsidRPr="005F06F4">
              <w:rPr>
                <w:b/>
              </w:rPr>
              <w:t>Anzahl</w:t>
            </w:r>
          </w:p>
        </w:tc>
        <w:tc>
          <w:tcPr>
            <w:tcW w:w="993" w:type="dxa"/>
            <w:shd w:val="clear" w:color="auto" w:fill="BFBFBF" w:themeFill="background1" w:themeFillShade="BF"/>
          </w:tcPr>
          <w:p w:rsidR="005F06F4" w:rsidRPr="005F06F4" w:rsidRDefault="005F06F4" w:rsidP="00570142">
            <w:pPr>
              <w:rPr>
                <w:b/>
              </w:rPr>
            </w:pPr>
            <w:r w:rsidRPr="005F06F4">
              <w:rPr>
                <w:b/>
              </w:rPr>
              <w:t xml:space="preserve"> Saison</w:t>
            </w:r>
          </w:p>
        </w:tc>
      </w:tr>
      <w:tr w:rsidR="005F06F4" w:rsidRPr="005F06F4" w:rsidTr="005F06F4">
        <w:trPr>
          <w:jc w:val="center"/>
        </w:trPr>
        <w:tc>
          <w:tcPr>
            <w:tcW w:w="1040" w:type="dxa"/>
          </w:tcPr>
          <w:p w:rsidR="005F06F4" w:rsidRPr="005F06F4" w:rsidRDefault="005F06F4" w:rsidP="005F06F4">
            <w:pPr>
              <w:jc w:val="center"/>
            </w:pPr>
            <w:r w:rsidRPr="005F06F4">
              <w:t>X</w:t>
            </w:r>
          </w:p>
        </w:tc>
        <w:tc>
          <w:tcPr>
            <w:tcW w:w="944" w:type="dxa"/>
          </w:tcPr>
          <w:p w:rsidR="005F06F4" w:rsidRPr="005F06F4" w:rsidRDefault="005F06F4" w:rsidP="005F06F4">
            <w:pPr>
              <w:jc w:val="center"/>
            </w:pPr>
            <w:r>
              <w:t>593</w:t>
            </w:r>
          </w:p>
        </w:tc>
        <w:tc>
          <w:tcPr>
            <w:tcW w:w="993" w:type="dxa"/>
          </w:tcPr>
          <w:p w:rsidR="005F06F4" w:rsidRPr="005F06F4" w:rsidRDefault="005F06F4" w:rsidP="005F06F4">
            <w:pPr>
              <w:jc w:val="center"/>
            </w:pPr>
            <w:r>
              <w:t>277</w:t>
            </w:r>
          </w:p>
        </w:tc>
      </w:tr>
      <w:tr w:rsidR="005F06F4" w:rsidRPr="005F06F4" w:rsidTr="005F06F4">
        <w:trPr>
          <w:jc w:val="center"/>
        </w:trPr>
        <w:tc>
          <w:tcPr>
            <w:tcW w:w="1040" w:type="dxa"/>
          </w:tcPr>
          <w:p w:rsidR="005F06F4" w:rsidRPr="005F06F4" w:rsidRDefault="005F06F4" w:rsidP="005F06F4">
            <w:pPr>
              <w:jc w:val="center"/>
            </w:pPr>
            <w:r w:rsidRPr="005F06F4">
              <w:t>Y</w:t>
            </w:r>
          </w:p>
        </w:tc>
        <w:tc>
          <w:tcPr>
            <w:tcW w:w="944" w:type="dxa"/>
          </w:tcPr>
          <w:p w:rsidR="005F06F4" w:rsidRPr="005F06F4" w:rsidRDefault="005F06F4" w:rsidP="005F06F4">
            <w:pPr>
              <w:jc w:val="center"/>
            </w:pPr>
            <w:r>
              <w:t>68</w:t>
            </w:r>
          </w:p>
        </w:tc>
        <w:tc>
          <w:tcPr>
            <w:tcW w:w="993" w:type="dxa"/>
          </w:tcPr>
          <w:p w:rsidR="005F06F4" w:rsidRPr="005F06F4" w:rsidRDefault="005F06F4" w:rsidP="005F06F4">
            <w:pPr>
              <w:jc w:val="center"/>
            </w:pPr>
            <w:r>
              <w:t>24</w:t>
            </w:r>
          </w:p>
        </w:tc>
      </w:tr>
      <w:tr w:rsidR="005F06F4" w:rsidRPr="005F06F4" w:rsidTr="005F06F4">
        <w:trPr>
          <w:jc w:val="center"/>
        </w:trPr>
        <w:tc>
          <w:tcPr>
            <w:tcW w:w="1040" w:type="dxa"/>
          </w:tcPr>
          <w:p w:rsidR="005F06F4" w:rsidRPr="005F06F4" w:rsidRDefault="005F06F4" w:rsidP="005F06F4">
            <w:pPr>
              <w:jc w:val="center"/>
            </w:pPr>
            <w:r w:rsidRPr="005F06F4">
              <w:t>Z</w:t>
            </w:r>
          </w:p>
        </w:tc>
        <w:tc>
          <w:tcPr>
            <w:tcW w:w="944" w:type="dxa"/>
          </w:tcPr>
          <w:p w:rsidR="005F06F4" w:rsidRPr="005F06F4" w:rsidRDefault="005F06F4" w:rsidP="005F06F4">
            <w:pPr>
              <w:jc w:val="center"/>
            </w:pPr>
            <w:r>
              <w:t>7</w:t>
            </w:r>
          </w:p>
        </w:tc>
        <w:tc>
          <w:tcPr>
            <w:tcW w:w="993" w:type="dxa"/>
          </w:tcPr>
          <w:p w:rsidR="005F06F4" w:rsidRPr="005F06F4" w:rsidRDefault="005F06F4" w:rsidP="005F06F4">
            <w:pPr>
              <w:jc w:val="center"/>
            </w:pPr>
            <w:r>
              <w:t>5</w:t>
            </w:r>
          </w:p>
        </w:tc>
      </w:tr>
      <w:tr w:rsidR="005F06F4" w:rsidRPr="005F06F4" w:rsidTr="005F06F4">
        <w:trPr>
          <w:jc w:val="center"/>
        </w:trPr>
        <w:tc>
          <w:tcPr>
            <w:tcW w:w="1040" w:type="dxa"/>
          </w:tcPr>
          <w:p w:rsidR="005F06F4" w:rsidRPr="005F06F4" w:rsidRDefault="005F06F4" w:rsidP="00570142">
            <w:pPr>
              <w:rPr>
                <w:b/>
              </w:rPr>
            </w:pPr>
            <w:r w:rsidRPr="005F06F4">
              <w:rPr>
                <w:b/>
              </w:rPr>
              <w:t>Gesamt</w:t>
            </w:r>
          </w:p>
        </w:tc>
        <w:tc>
          <w:tcPr>
            <w:tcW w:w="944" w:type="dxa"/>
          </w:tcPr>
          <w:p w:rsidR="005F06F4" w:rsidRPr="005F06F4" w:rsidRDefault="005F06F4" w:rsidP="005F06F4">
            <w:pPr>
              <w:jc w:val="center"/>
              <w:rPr>
                <w:b/>
              </w:rPr>
            </w:pPr>
            <w:r w:rsidRPr="005F06F4">
              <w:rPr>
                <w:b/>
              </w:rPr>
              <w:t>668</w:t>
            </w:r>
          </w:p>
        </w:tc>
        <w:tc>
          <w:tcPr>
            <w:tcW w:w="993" w:type="dxa"/>
          </w:tcPr>
          <w:p w:rsidR="005F06F4" w:rsidRPr="005F06F4" w:rsidRDefault="005F06F4" w:rsidP="005F06F4">
            <w:pPr>
              <w:jc w:val="center"/>
              <w:rPr>
                <w:b/>
              </w:rPr>
            </w:pPr>
            <w:r w:rsidRPr="005F06F4">
              <w:rPr>
                <w:b/>
              </w:rPr>
              <w:t>306</w:t>
            </w:r>
          </w:p>
        </w:tc>
      </w:tr>
    </w:tbl>
    <w:p w:rsidR="005F06F4" w:rsidRPr="005F06F4" w:rsidRDefault="005F06F4" w:rsidP="00570142"/>
    <w:p w:rsidR="00570142" w:rsidRPr="005F06F4" w:rsidRDefault="003B0EF1" w:rsidP="00570142">
      <w:r w:rsidRPr="005F06F4">
        <w:t xml:space="preserve">Testdaten der Periodizität Woche sind nur in geringer Menge vorhanden und bestehen inhaltlich fast ausschließlich aus Z klassifizierten Verbrauchsreihen hoher </w:t>
      </w:r>
      <w:proofErr w:type="spellStart"/>
      <w:r w:rsidRPr="005F06F4">
        <w:t>Sporadizität</w:t>
      </w:r>
      <w:proofErr w:type="spellEnd"/>
      <w:r w:rsidRPr="005F06F4">
        <w:t xml:space="preserve">. Eine valide Aussage zum Einsatz des Saisonindikators kann daher aufgrund fehlender geeigneter Testdaten nicht getroffen werden. </w:t>
      </w:r>
    </w:p>
    <w:p w:rsidR="003B0EF1" w:rsidRPr="00EE38F1" w:rsidRDefault="005F06F4" w:rsidP="00570142">
      <w:r w:rsidRPr="00EE38F1">
        <w:t xml:space="preserve">Verglichen wurde die Prognosequalität </w:t>
      </w:r>
      <w:r w:rsidR="00FE60C6">
        <w:t xml:space="preserve">der vom DCF Bewertungsschema ausgewählten Prognoseverfahren („bestes“ Prognoseverfahren gemäß DCF Bewertung) </w:t>
      </w:r>
      <w:r w:rsidRPr="00EE38F1">
        <w:t>anhand folgender Kennzahlen:</w:t>
      </w:r>
    </w:p>
    <w:p w:rsidR="005F06F4" w:rsidRPr="00EE38F1" w:rsidRDefault="005F06F4" w:rsidP="005F06F4">
      <w:pPr>
        <w:pStyle w:val="Listenabsatz"/>
        <w:numPr>
          <w:ilvl w:val="0"/>
          <w:numId w:val="1"/>
        </w:numPr>
      </w:pPr>
      <w:r w:rsidRPr="00EE38F1">
        <w:t xml:space="preserve">FA 1 Monat (periodenspezifische Forecast </w:t>
      </w:r>
      <w:proofErr w:type="spellStart"/>
      <w:r w:rsidRPr="00EE38F1">
        <w:t>Accuracy</w:t>
      </w:r>
      <w:proofErr w:type="spellEnd"/>
      <w:r w:rsidRPr="00EE38F1">
        <w:t xml:space="preserve"> der ersten Prognoseperiode)</w:t>
      </w:r>
    </w:p>
    <w:p w:rsidR="005F06F4" w:rsidRPr="00EE38F1" w:rsidRDefault="005F06F4" w:rsidP="005F06F4">
      <w:pPr>
        <w:pStyle w:val="Listenabsatz"/>
        <w:numPr>
          <w:ilvl w:val="0"/>
          <w:numId w:val="1"/>
        </w:numPr>
      </w:pPr>
      <w:r w:rsidRPr="00EE38F1">
        <w:t xml:space="preserve">FA 3 Monate (kumulative </w:t>
      </w:r>
      <w:r w:rsidR="00EE38F1">
        <w:t>FA</w:t>
      </w:r>
      <w:r w:rsidRPr="00EE38F1">
        <w:t xml:space="preserve"> der ersten 3 Prognoseperioden)</w:t>
      </w:r>
    </w:p>
    <w:p w:rsidR="005F06F4" w:rsidRPr="00EE38F1" w:rsidRDefault="005F06F4" w:rsidP="005F06F4">
      <w:pPr>
        <w:pStyle w:val="Listenabsatz"/>
        <w:numPr>
          <w:ilvl w:val="0"/>
          <w:numId w:val="1"/>
        </w:numPr>
      </w:pPr>
      <w:r w:rsidRPr="00EE38F1">
        <w:t>FA 6 Monate (kumulative FA der ersten 6 Prognoseperioden).</w:t>
      </w:r>
    </w:p>
    <w:p w:rsidR="005F06F4" w:rsidRPr="00EE38F1" w:rsidRDefault="005F06F4" w:rsidP="005F06F4">
      <w:r w:rsidRPr="00EE38F1">
        <w:t>Die FA ermittelt sich dabei wie folgt:</w:t>
      </w:r>
    </w:p>
    <w:p w:rsidR="005F06F4" w:rsidRPr="00EE38F1" w:rsidRDefault="005F06F4" w:rsidP="005F06F4">
      <w:pPr>
        <w:rPr>
          <w:rFonts w:eastAsiaTheme="minorEastAsia"/>
        </w:rPr>
      </w:pPr>
      <m:oMathPara>
        <m:oMath>
          <m:r>
            <w:rPr>
              <w:rFonts w:ascii="Cambria Math" w:hAnsi="Cambria Math"/>
            </w:rPr>
            <m:t>FA=</m:t>
          </m:r>
          <m:d>
            <m:dPr>
              <m:ctrlPr>
                <w:rPr>
                  <w:rFonts w:ascii="Cambria Math" w:hAnsi="Cambria Math"/>
                  <w:i/>
                </w:rPr>
              </m:ctrlPr>
            </m:dPr>
            <m:e>
              <m:r>
                <w:rPr>
                  <w:rFonts w:ascii="Cambria Math" w:hAnsi="Cambria Math"/>
                </w:rPr>
                <m:t>1-FE</m:t>
              </m:r>
            </m:e>
          </m:d>
          <m:r>
            <w:rPr>
              <w:rFonts w:ascii="Cambria Math" w:hAnsi="Cambria Math"/>
            </w:rPr>
            <m:t>*100</m:t>
          </m:r>
        </m:oMath>
      </m:oMathPara>
    </w:p>
    <w:p w:rsidR="00EE38F1" w:rsidRPr="00EE38F1" w:rsidRDefault="00EE38F1" w:rsidP="00EE38F1">
      <w:pPr>
        <w:rPr>
          <w:rFonts w:eastAsiaTheme="minorEastAsia"/>
        </w:rPr>
      </w:pPr>
      <m:oMathPara>
        <m:oMath>
          <m:r>
            <w:rPr>
              <w:rFonts w:ascii="Cambria Math" w:hAnsi="Cambria Math"/>
            </w:rPr>
            <m:t>F</m:t>
          </m:r>
          <m:r>
            <w:rPr>
              <w:rFonts w:ascii="Cambria Math" w:hAnsi="Cambria Math"/>
            </w:rPr>
            <m:t>E=</m:t>
          </m:r>
          <m:f>
            <m:fPr>
              <m:ctrlPr>
                <w:rPr>
                  <w:rFonts w:ascii="Cambria Math" w:hAnsi="Cambria Math"/>
                  <w:i/>
                </w:rPr>
              </m:ctrlPr>
            </m:fPr>
            <m:num>
              <m:nary>
                <m:naryPr>
                  <m:chr m:val="∑"/>
                  <m:limLoc m:val="undOvr"/>
                  <m:subHide m:val="1"/>
                  <m:supHide m:val="1"/>
                  <m:ctrlPr>
                    <w:rPr>
                      <w:rFonts w:ascii="Cambria Math" w:hAnsi="Cambria Math"/>
                      <w:i/>
                    </w:rPr>
                  </m:ctrlPr>
                </m:naryPr>
                <m:sub/>
                <m:sup/>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t</m:t>
                          </m:r>
                        </m:sub>
                      </m:sSub>
                    </m:e>
                  </m:d>
                </m:e>
              </m:nary>
            </m:num>
            <m:den>
              <m:nary>
                <m:naryPr>
                  <m:chr m:val="∑"/>
                  <m:limLoc m:val="undOvr"/>
                  <m:subHide m:val="1"/>
                  <m:supHide m:val="1"/>
                  <m:ctrlPr>
                    <w:rPr>
                      <w:rFonts w:ascii="Cambria Math" w:hAnsi="Cambria Math"/>
                      <w:i/>
                    </w:rPr>
                  </m:ctrlPr>
                </m:naryPr>
                <m:sub/>
                <m:sup/>
                <m:e>
                  <m:sSub>
                    <m:sSubPr>
                      <m:ctrlPr>
                        <w:rPr>
                          <w:rFonts w:ascii="Cambria Math" w:hAnsi="Cambria Math"/>
                          <w:i/>
                        </w:rPr>
                      </m:ctrlPr>
                    </m:sSubPr>
                    <m:e>
                      <m:r>
                        <w:rPr>
                          <w:rFonts w:ascii="Cambria Math" w:hAnsi="Cambria Math"/>
                        </w:rPr>
                        <m:t>IST</m:t>
                      </m:r>
                    </m:e>
                    <m:sub>
                      <m:r>
                        <w:rPr>
                          <w:rFonts w:ascii="Cambria Math" w:hAnsi="Cambria Math"/>
                        </w:rPr>
                        <m:t>t</m:t>
                      </m:r>
                    </m:sub>
                  </m:sSub>
                </m:e>
              </m:nary>
            </m:den>
          </m:f>
        </m:oMath>
      </m:oMathPara>
    </w:p>
    <w:p w:rsidR="00EE38F1" w:rsidRPr="00EE38F1" w:rsidRDefault="00EE38F1" w:rsidP="00EE38F1">
      <w:r w:rsidRPr="00EE38F1">
        <w:t>Da eine Durchschnitts-FA über mehrere Verbrauchsreihen ermittelt wird, wird die FA getrimmt um die Aussagefähigkeit trotz Saldierung mit einzelnen negativen FAs zu erhalten. Dazu werden negative FAs aus Null gesetzt.</w:t>
      </w:r>
    </w:p>
    <w:p w:rsidR="00EE38F1" w:rsidRPr="00EE38F1" w:rsidRDefault="00EE38F1" w:rsidP="00EE38F1">
      <w:r w:rsidRPr="00EE38F1">
        <w:t>Der Test nutzt das DCF Default Bewertungsschema, welches um die Ab-/Aufwertung saisonaler Verfahren in Abhängigkeit vom Saisonindikator verändert wird.</w:t>
      </w:r>
    </w:p>
    <w:p w:rsidR="00207EB4" w:rsidRDefault="00EE38F1" w:rsidP="00570142">
      <w:pPr>
        <w:rPr>
          <w:color w:val="FF0000"/>
        </w:rPr>
      </w:pPr>
      <w:r>
        <w:rPr>
          <w:noProof/>
          <w:lang w:eastAsia="de-DE"/>
        </w:rPr>
        <w:drawing>
          <wp:inline distT="0" distB="0" distL="0" distR="0" wp14:anchorId="656E6AAF" wp14:editId="57FF9EB4">
            <wp:extent cx="5760720" cy="1964055"/>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760720" cy="1964055"/>
                    </a:xfrm>
                    <a:prstGeom prst="rect">
                      <a:avLst/>
                    </a:prstGeom>
                  </pic:spPr>
                </pic:pic>
              </a:graphicData>
            </a:graphic>
          </wp:inline>
        </w:drawing>
      </w:r>
    </w:p>
    <w:p w:rsidR="00207EB4" w:rsidRPr="00FE60C6" w:rsidRDefault="00FE60C6" w:rsidP="00570142">
      <w:r w:rsidRPr="00FE60C6">
        <w:t>Durchgeführt wurden mehrere Tests mit unterschiedlichen Varianten der Einbeziehung:</w:t>
      </w:r>
    </w:p>
    <w:p w:rsidR="00FE60C6" w:rsidRPr="00FE60C6" w:rsidRDefault="00FE60C6" w:rsidP="00FE60C6">
      <w:pPr>
        <w:pStyle w:val="Listenabsatz"/>
        <w:numPr>
          <w:ilvl w:val="0"/>
          <w:numId w:val="1"/>
        </w:numPr>
      </w:pPr>
      <w:r>
        <w:t>n</w:t>
      </w:r>
      <w:r w:rsidRPr="00FE60C6">
        <w:t xml:space="preserve">ur Aufwertung bzw. nur Abwertung einzelner Verfahrensgruppen (saisonale Verfahren, Niveauverfahren, Trendverfahren) </w:t>
      </w:r>
      <w:r>
        <w:t xml:space="preserve">sowie </w:t>
      </w:r>
      <w:r w:rsidRPr="00FE60C6">
        <w:t>in verschiedenen Kombinationen</w:t>
      </w:r>
      <w:r>
        <w:t>,</w:t>
      </w:r>
    </w:p>
    <w:p w:rsidR="00FE60C6" w:rsidRPr="00FE60C6" w:rsidRDefault="00FE60C6" w:rsidP="00FE60C6">
      <w:pPr>
        <w:pStyle w:val="Listenabsatz"/>
        <w:numPr>
          <w:ilvl w:val="0"/>
          <w:numId w:val="1"/>
        </w:numPr>
      </w:pPr>
      <w:r w:rsidRPr="00FE60C6">
        <w:t xml:space="preserve">variierende </w:t>
      </w:r>
      <w:proofErr w:type="spellStart"/>
      <w:r w:rsidRPr="00FE60C6">
        <w:t>Bepunktung</w:t>
      </w:r>
      <w:proofErr w:type="spellEnd"/>
      <w:r w:rsidRPr="00FE60C6">
        <w:t xml:space="preserve"> der Auf-/Abwertung.</w:t>
      </w:r>
    </w:p>
    <w:p w:rsidR="00FE60C6" w:rsidRDefault="00FE60C6" w:rsidP="00570142">
      <w:r w:rsidRPr="00FE60C6">
        <w:lastRenderedPageBreak/>
        <w:t xml:space="preserve">Aufgeführt werden im Folgenden nur die Ergebnisse der empfohlenen </w:t>
      </w:r>
      <w:proofErr w:type="spellStart"/>
      <w:r w:rsidRPr="00FE60C6">
        <w:t>Bepunktung</w:t>
      </w:r>
      <w:proofErr w:type="spellEnd"/>
      <w:r w:rsidRPr="00FE60C6">
        <w:t xml:space="preserve">, welche sich insgesamt als </w:t>
      </w:r>
      <w:r>
        <w:t>am V</w:t>
      </w:r>
      <w:r w:rsidRPr="00FE60C6">
        <w:t xml:space="preserve">orteilhaftesten erwiesen hat. </w:t>
      </w:r>
      <w:r w:rsidR="005430C1">
        <w:t xml:space="preserve">Eine </w:t>
      </w:r>
      <w:r>
        <w:t xml:space="preserve">Erhöhung der </w:t>
      </w:r>
      <w:r w:rsidR="005430C1">
        <w:t>Punktzahl</w:t>
      </w:r>
      <w:r>
        <w:t xml:space="preserve"> auf 40 oder 50 Punkte </w:t>
      </w:r>
      <w:r w:rsidR="005430C1">
        <w:t>führt zu</w:t>
      </w:r>
      <w:r>
        <w:t xml:space="preserve"> nahezu übereinstimmenden Ergebnis</w:t>
      </w:r>
      <w:r w:rsidR="00376577">
        <w:t xml:space="preserve">sen. Dies weist auf einen robusten Einsatz des Saisonindikators hin. Bei einer Auf-/Abwertung kleiner 30 </w:t>
      </w:r>
      <w:r w:rsidR="005430C1">
        <w:t xml:space="preserve">Punkte </w:t>
      </w:r>
      <w:r w:rsidR="00376577">
        <w:t>oder größer 50 Punkte verschlechterten sich</w:t>
      </w:r>
      <w:r w:rsidR="005430C1">
        <w:t xml:space="preserve"> dagegen </w:t>
      </w:r>
      <w:r w:rsidR="00376577">
        <w:t>die Prognos</w:t>
      </w:r>
      <w:r w:rsidR="005430C1">
        <w:t>e</w:t>
      </w:r>
      <w:r w:rsidR="00376577">
        <w:t xml:space="preserve">ergebnisse. </w:t>
      </w:r>
    </w:p>
    <w:p w:rsidR="00376577" w:rsidRDefault="00376577" w:rsidP="00570142"/>
    <w:p w:rsidR="00376577" w:rsidRPr="005430C1" w:rsidRDefault="00376577" w:rsidP="00570142">
      <w:pPr>
        <w:rPr>
          <w:b/>
        </w:rPr>
      </w:pPr>
      <w:r w:rsidRPr="005430C1">
        <w:rPr>
          <w:b/>
        </w:rPr>
        <w:t>Erwartungen an die Einführung des Saisonindikators:</w:t>
      </w:r>
    </w:p>
    <w:p w:rsidR="00EE38F1" w:rsidRPr="00FE60C6" w:rsidRDefault="00EE38F1" w:rsidP="00700DFB">
      <w:pPr>
        <w:pStyle w:val="Listenabsatz"/>
        <w:numPr>
          <w:ilvl w:val="0"/>
          <w:numId w:val="11"/>
        </w:numPr>
        <w:rPr>
          <w:b/>
        </w:rPr>
      </w:pPr>
      <w:r w:rsidRPr="00FE60C6">
        <w:rPr>
          <w:b/>
        </w:rPr>
        <w:t>Verbesserte Verfahrensauswahl in Abhängigkeit vom Saisonindikator</w:t>
      </w:r>
    </w:p>
    <w:p w:rsidR="00EE38F1" w:rsidRPr="00FE60C6" w:rsidRDefault="00EE38F1" w:rsidP="00EE38F1">
      <w:pPr>
        <w:pStyle w:val="Listenabsatz"/>
      </w:pPr>
      <w:r w:rsidRPr="00FE60C6">
        <w:t>Saisonale Verbrauchsreihen werden vermehrt von saisonalen Verfahren prognostiziert.</w:t>
      </w:r>
    </w:p>
    <w:p w:rsidR="00FE60C6" w:rsidRDefault="00FE60C6" w:rsidP="00EE38F1">
      <w:pPr>
        <w:pStyle w:val="Listenabsatz"/>
      </w:pPr>
      <w:r w:rsidRPr="00FE60C6">
        <w:t>Verbrauchsreihen ohne signifikante Saison werden weniger von saisonalen Verfahren prognostiziert.</w:t>
      </w:r>
    </w:p>
    <w:p w:rsidR="002E2068" w:rsidRDefault="005430C1" w:rsidP="00EE38F1">
      <w:pPr>
        <w:pStyle w:val="Listenabsatz"/>
      </w:pPr>
      <w:r>
        <w:t xml:space="preserve">Es ist dagegen nicht zu erwarten, das saisonale Verbrauchsreihen nur noch mit saisonalen Verfahren prognostiziert werden. Der Saisonindikator liefert (wie oben ausgeführt) keinen kausalen Beweis für das Vorliegen einer saisonalen Schwankung. Darüber hinaus können sich </w:t>
      </w:r>
      <w:r w:rsidR="002E2068">
        <w:t xml:space="preserve">Verbrauchscharakteristiken kürzlich geändert haben und nur für einen Teil der Verbrauchsreihe gültig sein. </w:t>
      </w:r>
      <w:r w:rsidR="002E2068" w:rsidRPr="002E2068">
        <w:t xml:space="preserve">Ursache kann hier z.B. ein Strukturbruch (wesentliche Änderung des Niveaus und/oder der Charakteristik der Zeitreihe) sein. In diesem Fall gibt es einen Übergangszeitraum, innerhalb </w:t>
      </w:r>
      <w:r w:rsidR="002E2068">
        <w:t xml:space="preserve">dessen </w:t>
      </w:r>
      <w:r w:rsidR="002E2068" w:rsidRPr="002E2068">
        <w:t>die Autokorrelation nur knapp über</w:t>
      </w:r>
      <w:r w:rsidR="002E2068">
        <w:t>/unter</w:t>
      </w:r>
      <w:r w:rsidR="002E2068" w:rsidRPr="002E2068">
        <w:t xml:space="preserve"> der Signifikanzschwelle liegt.</w:t>
      </w:r>
      <w:r w:rsidR="002E2068">
        <w:t xml:space="preserve"> </w:t>
      </w:r>
    </w:p>
    <w:p w:rsidR="005430C1" w:rsidRPr="00FE60C6" w:rsidRDefault="005430C1" w:rsidP="00EE38F1">
      <w:pPr>
        <w:pStyle w:val="Listenabsatz"/>
      </w:pPr>
      <w:r>
        <w:t xml:space="preserve">Die </w:t>
      </w:r>
      <w:r w:rsidR="002E2068">
        <w:t xml:space="preserve">DCF </w:t>
      </w:r>
      <w:r>
        <w:t>Verfahrensauswahl soll da</w:t>
      </w:r>
      <w:r w:rsidR="002E2068">
        <w:t>her</w:t>
      </w:r>
      <w:r>
        <w:t xml:space="preserve"> weiterhin vor allem gemäß de</w:t>
      </w:r>
      <w:r w:rsidR="002E2068">
        <w:t>r</w:t>
      </w:r>
      <w:r>
        <w:t xml:space="preserve"> ex Po</w:t>
      </w:r>
      <w:r w:rsidR="002E2068">
        <w:t>st aufgetretenen Prognosefehler</w:t>
      </w:r>
      <w:r>
        <w:t xml:space="preserve"> erfolgen.</w:t>
      </w:r>
    </w:p>
    <w:p w:rsidR="00207EB4" w:rsidRPr="00291D9A" w:rsidRDefault="00376577" w:rsidP="00700DFB">
      <w:pPr>
        <w:pStyle w:val="Listenabsatz"/>
        <w:numPr>
          <w:ilvl w:val="0"/>
          <w:numId w:val="11"/>
        </w:numPr>
        <w:rPr>
          <w:b/>
        </w:rPr>
      </w:pPr>
      <w:r w:rsidRPr="00291D9A">
        <w:rPr>
          <w:b/>
        </w:rPr>
        <w:t>Verbesserung der FA aufgrund der Auswahl geeigneterer Verfahren</w:t>
      </w:r>
    </w:p>
    <w:p w:rsidR="00376577" w:rsidRDefault="00376577" w:rsidP="00376577">
      <w:pPr>
        <w:pStyle w:val="Listenabsatz"/>
      </w:pPr>
      <w:r w:rsidRPr="00291D9A">
        <w:t>Dies betrifft vor allem Y klassifizierte Verbrauchsreihen, welche von Trends und/oder saisonalen Schwankungen betroffen sind.</w:t>
      </w:r>
      <w:r w:rsidR="00291D9A">
        <w:t xml:space="preserve"> Insbesondere bei saisonalen Verbrauchsreihen wäre hiermit auch eine Verbesserung der mittelfristigen Prognosequalität zu erwarten.</w:t>
      </w:r>
    </w:p>
    <w:p w:rsidR="00291D9A" w:rsidRPr="005430C1" w:rsidRDefault="00291D9A" w:rsidP="00700DFB">
      <w:pPr>
        <w:pStyle w:val="Listenabsatz"/>
        <w:numPr>
          <w:ilvl w:val="0"/>
          <w:numId w:val="11"/>
        </w:numPr>
        <w:rPr>
          <w:b/>
        </w:rPr>
      </w:pPr>
      <w:r w:rsidRPr="005430C1">
        <w:rPr>
          <w:b/>
        </w:rPr>
        <w:t>Verringerung der Anzahl mehrfacher bester Verfahren für eine Verbrauchsreihe</w:t>
      </w:r>
    </w:p>
    <w:p w:rsidR="00291D9A" w:rsidRDefault="005430C1" w:rsidP="00291D9A">
      <w:pPr>
        <w:pStyle w:val="Listenabsatz"/>
      </w:pPr>
      <w:r>
        <w:t xml:space="preserve">Manchmal kann die Charakteristik einer Verbrauchsreihe sowie das dazu passende Verfahren durch die Bewertung nicht genau ermittelt werden. In diesem Fall werden mehrere Verfahren als gleichrangig angesehen und gleich </w:t>
      </w:r>
      <w:proofErr w:type="spellStart"/>
      <w:r>
        <w:t>bepunktet</w:t>
      </w:r>
      <w:proofErr w:type="spellEnd"/>
      <w:r>
        <w:t>. Die Anzahl bester Verfahren in der Auswertung erhöht sich in diesen Fällen. Durch die Einbeziehung des Saisonindikators sollte sich dieses Phänomen reduzieren, sofern das Trackingsignal tatsächlich die Identifikation passender Verfahren beiträgt.</w:t>
      </w:r>
    </w:p>
    <w:p w:rsidR="007F2516" w:rsidRDefault="007F2516" w:rsidP="007F2516">
      <w:r>
        <w:t xml:space="preserve">Wird für die Prognose zunächst eine Auswahl geeigneter Verfahren </w:t>
      </w:r>
      <w:r w:rsidRPr="007F2516">
        <w:rPr>
          <w:b/>
        </w:rPr>
        <w:t>gemäß XYZ</w:t>
      </w:r>
      <w:r>
        <w:t xml:space="preserve"> durchgeführt, verbessert sich insbesondere die kurzfristige FA erwartungsgemäß. </w:t>
      </w:r>
    </w:p>
    <w:p w:rsidR="007F2516" w:rsidRDefault="007F2516" w:rsidP="007F2516">
      <w:r>
        <w:t xml:space="preserve">Bei der Prognose </w:t>
      </w:r>
      <w:r w:rsidRPr="007F2516">
        <w:rPr>
          <w:b/>
        </w:rPr>
        <w:t>ohne vorherige Verfahrensauswahl</w:t>
      </w:r>
      <w:r>
        <w:t xml:space="preserve"> sind die Auswirkungen auf die Prognosegenauigkeit nicht deutlich ersichtlich. Ohne Vorauswahl per XYZ wird die Verbrauchscharakteristik vernachlässigt und allein aufgrund der ex Post Prognoseergebnisse entschieden. Die Nutzung des Saisonindikators </w:t>
      </w:r>
      <w:r w:rsidR="00DC4F73">
        <w:t>scheint in diesem Fall keine eindeutigen Verbesserungen nach sich zu ziehen.</w:t>
      </w:r>
      <w:r>
        <w:t xml:space="preserve"> </w:t>
      </w:r>
    </w:p>
    <w:p w:rsidR="005F0072" w:rsidRDefault="005F0072" w:rsidP="007F2516"/>
    <w:p w:rsidR="005F0072" w:rsidRDefault="00E8612F" w:rsidP="005F0072">
      <w:pPr>
        <w:jc w:val="center"/>
      </w:pPr>
      <w:r w:rsidRPr="00E8612F">
        <w:lastRenderedPageBreak/>
        <w:drawing>
          <wp:inline distT="0" distB="0" distL="0" distR="0">
            <wp:extent cx="4735195" cy="2037080"/>
            <wp:effectExtent l="0" t="0" r="8255" b="1270"/>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735195" cy="2037080"/>
                    </a:xfrm>
                    <a:prstGeom prst="rect">
                      <a:avLst/>
                    </a:prstGeom>
                    <a:noFill/>
                    <a:ln>
                      <a:noFill/>
                    </a:ln>
                  </pic:spPr>
                </pic:pic>
              </a:graphicData>
            </a:graphic>
          </wp:inline>
        </w:drawing>
      </w:r>
    </w:p>
    <w:p w:rsidR="00E8612F" w:rsidRDefault="00E8612F" w:rsidP="00E8612F"/>
    <w:p w:rsidR="002E2068" w:rsidRPr="00D85CAB" w:rsidRDefault="002E2068" w:rsidP="00570142">
      <w:pPr>
        <w:rPr>
          <w:b/>
          <w:u w:val="single"/>
        </w:rPr>
      </w:pPr>
      <w:r w:rsidRPr="00D85CAB">
        <w:rPr>
          <w:b/>
          <w:u w:val="single"/>
        </w:rPr>
        <w:t>Ergebnisse bei Verfahrensauswahl gemäß XYZ</w:t>
      </w:r>
    </w:p>
    <w:p w:rsidR="00700DFB" w:rsidRDefault="00700DFB" w:rsidP="002E2068">
      <w:r>
        <w:t>Ausgewertet wurde</w:t>
      </w:r>
      <w:r w:rsidR="004C4324">
        <w:t xml:space="preserve"> zunächst</w:t>
      </w:r>
      <w:r>
        <w:t>, welche Verfahren für Zeitreihen mit Saisonindikator ausgewählt wurden.</w:t>
      </w:r>
    </w:p>
    <w:p w:rsidR="00700DFB" w:rsidRDefault="00700DFB" w:rsidP="002E2068">
      <w:r>
        <w:t>Legende:</w:t>
      </w:r>
    </w:p>
    <w:p w:rsidR="00700DFB" w:rsidRPr="002E2068" w:rsidRDefault="00700DFB" w:rsidP="00700DFB">
      <w:pPr>
        <w:pStyle w:val="Listenabsatz"/>
        <w:numPr>
          <w:ilvl w:val="0"/>
          <w:numId w:val="4"/>
        </w:numPr>
      </w:pPr>
      <w:r w:rsidRPr="002E2068">
        <w:rPr>
          <w:b/>
        </w:rPr>
        <w:t>Weiße Spalten</w:t>
      </w:r>
      <w:r>
        <w:t>: Ergebnis ohne Saisonindikator</w:t>
      </w:r>
    </w:p>
    <w:p w:rsidR="00700DFB" w:rsidRDefault="00700DFB" w:rsidP="00700DFB">
      <w:pPr>
        <w:pStyle w:val="Listenabsatz"/>
        <w:numPr>
          <w:ilvl w:val="0"/>
          <w:numId w:val="4"/>
        </w:numPr>
      </w:pPr>
      <w:r w:rsidRPr="002E2068">
        <w:rPr>
          <w:b/>
        </w:rPr>
        <w:t>Orange Spalten</w:t>
      </w:r>
      <w:r>
        <w:rPr>
          <w:b/>
        </w:rPr>
        <w:t xml:space="preserve">: </w:t>
      </w:r>
      <w:r>
        <w:t>Ergebnis mit Saisonindikator</w:t>
      </w:r>
    </w:p>
    <w:p w:rsidR="00700DFB" w:rsidRDefault="00700DFB" w:rsidP="00700DFB">
      <w:pPr>
        <w:pStyle w:val="Listenabsatz"/>
        <w:numPr>
          <w:ilvl w:val="0"/>
          <w:numId w:val="4"/>
        </w:numPr>
      </w:pPr>
      <w:r w:rsidRPr="002E2068">
        <w:rPr>
          <w:b/>
        </w:rPr>
        <w:t>Gelbe Zellen:</w:t>
      </w:r>
      <w:r>
        <w:t xml:space="preserve"> Bessere Ergebnis im Vergleich mit bzw. ohne Saisonindikator. D.h. gelbe Zellen in orangenen Spalten repräsentieren Verbesserungen durch neue Bewertung.</w:t>
      </w:r>
    </w:p>
    <w:p w:rsidR="004C4324" w:rsidRDefault="004C4324" w:rsidP="004C4324">
      <w:pPr>
        <w:pStyle w:val="Listenabsatz"/>
        <w:numPr>
          <w:ilvl w:val="0"/>
          <w:numId w:val="4"/>
        </w:numPr>
      </w:pPr>
      <w:r w:rsidRPr="004C4324">
        <w:rPr>
          <w:b/>
        </w:rPr>
        <w:t>Saisonverfahren</w:t>
      </w:r>
      <w:r>
        <w:t>: Saisonale Verbrauchsreihen prognostiziert mit SA, SF, WA, WM (Ziel: Anteil steigt)</w:t>
      </w:r>
    </w:p>
    <w:p w:rsidR="004C4324" w:rsidRDefault="004C4324" w:rsidP="004C4324">
      <w:pPr>
        <w:pStyle w:val="Listenabsatz"/>
        <w:numPr>
          <w:ilvl w:val="0"/>
          <w:numId w:val="4"/>
        </w:numPr>
      </w:pPr>
      <w:r w:rsidRPr="004C4324">
        <w:rPr>
          <w:b/>
        </w:rPr>
        <w:t>Trendverfahren:</w:t>
      </w:r>
      <w:r>
        <w:t xml:space="preserve"> Saisonale Verbrauchsreihen prognostiziert mit LR, S2, WT (Ziel: Anteil sinkt)</w:t>
      </w:r>
    </w:p>
    <w:p w:rsidR="004C4324" w:rsidRDefault="004C4324" w:rsidP="004C4324">
      <w:pPr>
        <w:pStyle w:val="Listenabsatz"/>
        <w:numPr>
          <w:ilvl w:val="0"/>
          <w:numId w:val="4"/>
        </w:numPr>
      </w:pPr>
      <w:r w:rsidRPr="004C4324">
        <w:rPr>
          <w:b/>
        </w:rPr>
        <w:t>Niveauverfahren:</w:t>
      </w:r>
      <w:r>
        <w:t xml:space="preserve"> Saisonale Verbrauchsreihen prognostiziert mit MA, ME, S1 (Ziel: Anteil sinkt)</w:t>
      </w:r>
    </w:p>
    <w:p w:rsidR="004C4324" w:rsidRDefault="004C4324" w:rsidP="005F0072">
      <w:pPr>
        <w:pStyle w:val="Listenabsatz"/>
        <w:numPr>
          <w:ilvl w:val="0"/>
          <w:numId w:val="4"/>
        </w:numPr>
      </w:pPr>
      <w:r w:rsidRPr="004C4324">
        <w:rPr>
          <w:b/>
        </w:rPr>
        <w:t>Gesamtanzahl</w:t>
      </w:r>
      <w:r>
        <w:t>: Anzahl bester Prognoseverfahren insgesamt (unabhängig vom Saisonindikator). Ermittlungsgrundlage der prozentualen Anteile.</w:t>
      </w:r>
    </w:p>
    <w:p w:rsidR="00700DFB" w:rsidRDefault="004C4324" w:rsidP="004C4324">
      <w:pPr>
        <w:jc w:val="center"/>
      </w:pPr>
      <w:r w:rsidRPr="002E53CA">
        <w:rPr>
          <w:noProof/>
          <w:lang w:eastAsia="de-DE"/>
        </w:rPr>
        <w:drawing>
          <wp:inline distT="0" distB="0" distL="0" distR="0" wp14:anchorId="042481D9" wp14:editId="07960CEB">
            <wp:extent cx="4408170" cy="957580"/>
            <wp:effectExtent l="0" t="0" r="0" b="0"/>
            <wp:docPr id="22" name="Grafi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408170" cy="957580"/>
                    </a:xfrm>
                    <a:prstGeom prst="rect">
                      <a:avLst/>
                    </a:prstGeom>
                    <a:noFill/>
                    <a:ln>
                      <a:noFill/>
                    </a:ln>
                  </pic:spPr>
                </pic:pic>
              </a:graphicData>
            </a:graphic>
          </wp:inline>
        </w:drawing>
      </w:r>
    </w:p>
    <w:p w:rsidR="004C4324" w:rsidRDefault="004C4324" w:rsidP="002E2068">
      <w:r>
        <w:t xml:space="preserve">Es ist eine verbesserte Verfahrensauswahl für saisonale Verbrauchsreihen durch die Einbeziehung des Saisonindikators ersichtlich. </w:t>
      </w:r>
    </w:p>
    <w:p w:rsidR="004C4324" w:rsidRDefault="004C4324" w:rsidP="002E2068">
      <w:r>
        <w:t>Die Anzahl ausgewählter „bester“ Prognoseverfahren hat sich kaum verringert (Basis 668 Verbrauchsreihen).</w:t>
      </w:r>
    </w:p>
    <w:p w:rsidR="004C4324" w:rsidRDefault="004C4324" w:rsidP="002E2068">
      <w:r>
        <w:t>Wie wirkt sich die verbesserte Verfahrensauswahl auf die Prognosegenauigkeit aus?</w:t>
      </w:r>
    </w:p>
    <w:p w:rsidR="00DC4F73" w:rsidRDefault="00DC4F73" w:rsidP="002E2068">
      <w:r>
        <w:t xml:space="preserve">Zu beachten ist bei den folgenden Auswertungen, dass es sich jeweils um durchschnittliche Prognosegenauigkeiten über eine große Anzahl Verbrauchsverläufe handelt. Kleinere Veränderungen einzelner Zeitreihen werden von den Auswertungen daher nicht wiedergegeben. </w:t>
      </w:r>
    </w:p>
    <w:p w:rsidR="004C4324" w:rsidRPr="00192BA8" w:rsidRDefault="00192BA8" w:rsidP="002E2068">
      <w:pPr>
        <w:rPr>
          <w:u w:val="single"/>
        </w:rPr>
      </w:pPr>
      <w:r w:rsidRPr="00192BA8">
        <w:rPr>
          <w:u w:val="single"/>
        </w:rPr>
        <w:t xml:space="preserve">Durchschnittliche FA </w:t>
      </w:r>
      <w:r w:rsidR="004C4324" w:rsidRPr="00192BA8">
        <w:rPr>
          <w:u w:val="single"/>
        </w:rPr>
        <w:t>nach XYZ:</w:t>
      </w:r>
    </w:p>
    <w:p w:rsidR="004C4324" w:rsidRDefault="004C4324" w:rsidP="004C4324">
      <w:pPr>
        <w:jc w:val="center"/>
      </w:pPr>
      <w:r w:rsidRPr="002E53CA">
        <w:rPr>
          <w:noProof/>
          <w:lang w:eastAsia="de-DE"/>
        </w:rPr>
        <w:lastRenderedPageBreak/>
        <w:drawing>
          <wp:inline distT="0" distB="0" distL="0" distR="0" wp14:anchorId="793764B1" wp14:editId="5D1EC333">
            <wp:extent cx="4928870" cy="2583180"/>
            <wp:effectExtent l="0" t="0" r="5080" b="7620"/>
            <wp:docPr id="21" name="Grafi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928870" cy="2583180"/>
                    </a:xfrm>
                    <a:prstGeom prst="rect">
                      <a:avLst/>
                    </a:prstGeom>
                    <a:noFill/>
                    <a:ln>
                      <a:noFill/>
                    </a:ln>
                  </pic:spPr>
                </pic:pic>
              </a:graphicData>
            </a:graphic>
          </wp:inline>
        </w:drawing>
      </w:r>
    </w:p>
    <w:p w:rsidR="00700DFB" w:rsidRDefault="00192BA8" w:rsidP="002E2068">
      <w:r>
        <w:t xml:space="preserve">Hier zeigt sich eine leicht verbesserte Prognosegenauigkeit im Bereich der Y Verbrauchsreihen. </w:t>
      </w:r>
    </w:p>
    <w:p w:rsidR="00192BA8" w:rsidRDefault="00192BA8" w:rsidP="002E2068">
      <w:r>
        <w:t xml:space="preserve">Aufgrund der Durchschnittsbildung über Trend- und Saisonverfahren ist diese Verbesserung nicht genau zu zuordnen. </w:t>
      </w:r>
      <w:r w:rsidR="00FC3097">
        <w:t>Dazu ist dient die folgende Auswertung je Prognoseverfahren.</w:t>
      </w:r>
    </w:p>
    <w:p w:rsidR="00192BA8" w:rsidRPr="00192BA8" w:rsidRDefault="00192BA8" w:rsidP="002E2068">
      <w:pPr>
        <w:rPr>
          <w:u w:val="single"/>
        </w:rPr>
      </w:pPr>
      <w:r w:rsidRPr="00192BA8">
        <w:rPr>
          <w:u w:val="single"/>
        </w:rPr>
        <w:t>Durchschnittliche FA je Prognoseverfahren:</w:t>
      </w:r>
    </w:p>
    <w:p w:rsidR="002E2068" w:rsidRDefault="002E2068" w:rsidP="002E2068">
      <w:r>
        <w:t>Legende:</w:t>
      </w:r>
    </w:p>
    <w:p w:rsidR="002E2068" w:rsidRPr="002E2068" w:rsidRDefault="002E2068" w:rsidP="002E2068">
      <w:pPr>
        <w:pStyle w:val="Listenabsatz"/>
        <w:numPr>
          <w:ilvl w:val="0"/>
          <w:numId w:val="4"/>
        </w:numPr>
      </w:pPr>
      <w:r w:rsidRPr="002E2068">
        <w:rPr>
          <w:b/>
        </w:rPr>
        <w:t>Weiße Spalten</w:t>
      </w:r>
      <w:r>
        <w:t>: Ergebnis ohne Saisonindikator</w:t>
      </w:r>
    </w:p>
    <w:p w:rsidR="002E2068" w:rsidRDefault="002E2068" w:rsidP="002E2068">
      <w:pPr>
        <w:pStyle w:val="Listenabsatz"/>
        <w:numPr>
          <w:ilvl w:val="0"/>
          <w:numId w:val="4"/>
        </w:numPr>
      </w:pPr>
      <w:r w:rsidRPr="002E2068">
        <w:rPr>
          <w:b/>
        </w:rPr>
        <w:t>Orange Spalten</w:t>
      </w:r>
      <w:r>
        <w:rPr>
          <w:b/>
        </w:rPr>
        <w:t xml:space="preserve">: </w:t>
      </w:r>
      <w:r>
        <w:t>Ergebnis mit Saisonindikator</w:t>
      </w:r>
    </w:p>
    <w:p w:rsidR="002E2068" w:rsidRDefault="002E2068" w:rsidP="002E2068">
      <w:pPr>
        <w:pStyle w:val="Listenabsatz"/>
        <w:numPr>
          <w:ilvl w:val="0"/>
          <w:numId w:val="4"/>
        </w:numPr>
      </w:pPr>
      <w:r w:rsidRPr="002E2068">
        <w:rPr>
          <w:b/>
        </w:rPr>
        <w:t>Gelbe Zellen:</w:t>
      </w:r>
      <w:r>
        <w:t xml:space="preserve"> Bessere Ergebnis im Vergleich mit bzw. ohne Saisonindikator. D.h. gelbe Zellen in orangenen Spalten repräsentieren Verbesserungen durch neue Bewertung.</w:t>
      </w:r>
    </w:p>
    <w:p w:rsidR="002E2068" w:rsidRDefault="002E2068" w:rsidP="002E2068">
      <w:pPr>
        <w:pStyle w:val="Listenabsatz"/>
        <w:numPr>
          <w:ilvl w:val="0"/>
          <w:numId w:val="4"/>
        </w:numPr>
      </w:pPr>
      <w:r w:rsidRPr="002E2068">
        <w:rPr>
          <w:b/>
        </w:rPr>
        <w:t>Blaue Zellen</w:t>
      </w:r>
      <w:r>
        <w:t>: Veränderungen</w:t>
      </w:r>
      <w:r w:rsidR="00700DFB">
        <w:t xml:space="preserve">, die </w:t>
      </w:r>
      <w:r>
        <w:t>dadurch</w:t>
      </w:r>
      <w:r w:rsidR="00700DFB">
        <w:t xml:space="preserve"> hervorgerufen werden</w:t>
      </w:r>
      <w:r>
        <w:t xml:space="preserve">, dass Verfahren nach der Änderung der Bewertung </w:t>
      </w:r>
      <w:r w:rsidR="00700DFB">
        <w:t>nicht mehr für die jeweiligen Verbrauchsreihen angewendet werden.</w:t>
      </w:r>
    </w:p>
    <w:p w:rsidR="00FC3097" w:rsidRDefault="002E2068" w:rsidP="005F0072">
      <w:pPr>
        <w:pStyle w:val="Listenabsatz"/>
        <w:numPr>
          <w:ilvl w:val="0"/>
          <w:numId w:val="4"/>
        </w:numPr>
      </w:pPr>
      <w:r w:rsidRPr="00DC4F73">
        <w:rPr>
          <w:b/>
        </w:rPr>
        <w:t xml:space="preserve">Spalte </w:t>
      </w:r>
      <w:r w:rsidR="00700DFB" w:rsidRPr="00DC4F73">
        <w:rPr>
          <w:b/>
        </w:rPr>
        <w:t>„</w:t>
      </w:r>
      <w:r w:rsidRPr="00DC4F73">
        <w:rPr>
          <w:b/>
        </w:rPr>
        <w:t>Anzahl S.</w:t>
      </w:r>
      <w:r w:rsidR="00700DFB" w:rsidRPr="00DC4F73">
        <w:rPr>
          <w:b/>
        </w:rPr>
        <w:t>“:</w:t>
      </w:r>
      <w:r w:rsidR="00700DFB">
        <w:t xml:space="preserve"> W</w:t>
      </w:r>
      <w:r>
        <w:t xml:space="preserve">ie oft </w:t>
      </w:r>
      <w:r w:rsidR="00700DFB">
        <w:t>wurde das</w:t>
      </w:r>
      <w:r>
        <w:t xml:space="preserve"> Prognoseverfahren für saisonale Verbrauchsreihen </w:t>
      </w:r>
      <w:r w:rsidR="00700DFB">
        <w:t>als bestes Verfahren herangezogen</w:t>
      </w:r>
      <w:r>
        <w:t xml:space="preserve">. </w:t>
      </w:r>
    </w:p>
    <w:p w:rsidR="00FC3097" w:rsidRDefault="00FC3097" w:rsidP="00FC3097">
      <w:pPr>
        <w:jc w:val="center"/>
      </w:pPr>
      <w:r w:rsidRPr="00FC3097">
        <w:drawing>
          <wp:inline distT="0" distB="0" distL="0" distR="0">
            <wp:extent cx="3014804" cy="1895163"/>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022858" cy="1900226"/>
                    </a:xfrm>
                    <a:prstGeom prst="rect">
                      <a:avLst/>
                    </a:prstGeom>
                    <a:noFill/>
                    <a:ln>
                      <a:noFill/>
                    </a:ln>
                  </pic:spPr>
                </pic:pic>
              </a:graphicData>
            </a:graphic>
          </wp:inline>
        </w:drawing>
      </w:r>
    </w:p>
    <w:p w:rsidR="00FC3097" w:rsidRDefault="00FC3097" w:rsidP="00FC3097">
      <w:r>
        <w:t xml:space="preserve">Die Anzahl der </w:t>
      </w:r>
      <w:r w:rsidR="003857FA">
        <w:t>saisonalen Verbrauchsreihen, die mit saisonalen Verfahren prognostiziert wurden, ist gestiegen und gesunken für die nicht-saisonalen Verfahren. Dabei ist zu beachten, dass trotz gleichhoher Anzahl ggf. andere Verbrauchsreihen zugeordnet wurden (veränderte Bewertung führt zu verändertem „besten“ Verfahren).</w:t>
      </w:r>
    </w:p>
    <w:p w:rsidR="00192BA8" w:rsidRPr="00192BA8" w:rsidRDefault="00192BA8" w:rsidP="00192BA8">
      <w:pPr>
        <w:rPr>
          <w:u w:val="single"/>
        </w:rPr>
      </w:pPr>
      <w:r>
        <w:rPr>
          <w:u w:val="single"/>
        </w:rPr>
        <w:t>FA 1 (periodengerecht):</w:t>
      </w:r>
    </w:p>
    <w:p w:rsidR="002E2068" w:rsidRDefault="002E2068" w:rsidP="002E2068">
      <w:r w:rsidRPr="002E53CA">
        <w:rPr>
          <w:noProof/>
          <w:lang w:eastAsia="de-DE"/>
        </w:rPr>
        <w:lastRenderedPageBreak/>
        <w:drawing>
          <wp:inline distT="0" distB="0" distL="0" distR="0" wp14:anchorId="33D6B09A" wp14:editId="4E41D5C4">
            <wp:extent cx="5760720" cy="1947554"/>
            <wp:effectExtent l="0" t="0" r="0" b="0"/>
            <wp:docPr id="23" name="Grafi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60720" cy="1947554"/>
                    </a:xfrm>
                    <a:prstGeom prst="rect">
                      <a:avLst/>
                    </a:prstGeom>
                    <a:noFill/>
                    <a:ln>
                      <a:noFill/>
                    </a:ln>
                  </pic:spPr>
                </pic:pic>
              </a:graphicData>
            </a:graphic>
          </wp:inline>
        </w:drawing>
      </w:r>
    </w:p>
    <w:p w:rsidR="00192BA8" w:rsidRDefault="00192BA8" w:rsidP="002E2068">
      <w:r>
        <w:t xml:space="preserve">Die kurzfristige FA verbessert sich demnach vor allem durch die verringerte Anzahl saisonaler Verbrauchsreihen, die durch nicht saisonale Verfahren prognostiziert werden. </w:t>
      </w:r>
    </w:p>
    <w:p w:rsidR="00A36F1F" w:rsidRDefault="00A36F1F" w:rsidP="002E2068">
      <w:r>
        <w:t>Die Verschlechterung für die Verfahren MA und ME ergibt sich ebenfalls durch den Wegfall leicht schwankender saisonaler Verbrauchsverläufe. Diese sind auch mit Niveauverfahren mit geringen Prognosefehlern gut prognostizierbar.</w:t>
      </w:r>
    </w:p>
    <w:p w:rsidR="00A36F1F" w:rsidRDefault="00A36F1F" w:rsidP="002E2068">
      <w:r>
        <w:t xml:space="preserve">Die saisonalen Verbrauchsreihen werden nun durch saisonale Verfahren (vor allem SA, WA) prognostiziert – ohne dass sich die durchschnittliche FA verringert! D.h. insgesamt ist eine leichte Verbesserung der kurzfristigen FA feststellbar.  </w:t>
      </w:r>
    </w:p>
    <w:p w:rsidR="00192BA8" w:rsidRPr="00192BA8" w:rsidRDefault="00192BA8" w:rsidP="00192BA8">
      <w:pPr>
        <w:rPr>
          <w:u w:val="single"/>
        </w:rPr>
      </w:pPr>
      <w:r>
        <w:rPr>
          <w:u w:val="single"/>
        </w:rPr>
        <w:t>FA 3 (kumulativ):</w:t>
      </w:r>
    </w:p>
    <w:p w:rsidR="002E2068" w:rsidRDefault="002E2068" w:rsidP="002E2068">
      <w:r w:rsidRPr="00FF2331">
        <w:rPr>
          <w:noProof/>
          <w:lang w:eastAsia="de-DE"/>
        </w:rPr>
        <w:drawing>
          <wp:inline distT="0" distB="0" distL="0" distR="0" wp14:anchorId="4EB2A787" wp14:editId="36D1D264">
            <wp:extent cx="5760720" cy="1947554"/>
            <wp:effectExtent l="0" t="0" r="0" b="0"/>
            <wp:docPr id="24" name="Grafi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60720" cy="1947554"/>
                    </a:xfrm>
                    <a:prstGeom prst="rect">
                      <a:avLst/>
                    </a:prstGeom>
                    <a:noFill/>
                    <a:ln>
                      <a:noFill/>
                    </a:ln>
                  </pic:spPr>
                </pic:pic>
              </a:graphicData>
            </a:graphic>
          </wp:inline>
        </w:drawing>
      </w:r>
    </w:p>
    <w:p w:rsidR="00A36F1F" w:rsidRDefault="00A36F1F" w:rsidP="00A36F1F">
      <w:r>
        <w:t xml:space="preserve">Für die mittelfristige FA verringert sich diese verbesserte Prognosegenauigkeit. </w:t>
      </w:r>
    </w:p>
    <w:p w:rsidR="00192BA8" w:rsidRDefault="00A36F1F" w:rsidP="00192BA8">
      <w:r>
        <w:t xml:space="preserve">Auffällig ist hier, dass es durch die Einbeziehung des Saisonindikators </w:t>
      </w:r>
      <w:r w:rsidR="003857FA">
        <w:t>im Bereich der</w:t>
      </w:r>
      <w:r>
        <w:t xml:space="preserve"> nicht-saisonalen Verbrauchsreihen zu einer Verschlechter</w:t>
      </w:r>
      <w:r w:rsidR="003857FA">
        <w:t>ung kommt.</w:t>
      </w:r>
    </w:p>
    <w:p w:rsidR="00192BA8" w:rsidRPr="00192BA8" w:rsidRDefault="00192BA8" w:rsidP="00192BA8">
      <w:pPr>
        <w:rPr>
          <w:u w:val="single"/>
        </w:rPr>
      </w:pPr>
      <w:r w:rsidRPr="00192BA8">
        <w:rPr>
          <w:u w:val="single"/>
        </w:rPr>
        <w:t>FA 6</w:t>
      </w:r>
      <w:r>
        <w:rPr>
          <w:u w:val="single"/>
        </w:rPr>
        <w:t xml:space="preserve"> (kumulativ)</w:t>
      </w:r>
      <w:r w:rsidRPr="00192BA8">
        <w:rPr>
          <w:u w:val="single"/>
        </w:rPr>
        <w:t>:</w:t>
      </w:r>
    </w:p>
    <w:p w:rsidR="002E2068" w:rsidRDefault="002E2068" w:rsidP="002E2068">
      <w:r w:rsidRPr="00FF2331">
        <w:rPr>
          <w:noProof/>
          <w:lang w:eastAsia="de-DE"/>
        </w:rPr>
        <w:lastRenderedPageBreak/>
        <w:drawing>
          <wp:inline distT="0" distB="0" distL="0" distR="0" wp14:anchorId="2A8112D5" wp14:editId="34BC3A50">
            <wp:extent cx="5760720" cy="1947554"/>
            <wp:effectExtent l="0" t="0" r="0" b="0"/>
            <wp:docPr id="25" name="Grafi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60720" cy="1947554"/>
                    </a:xfrm>
                    <a:prstGeom prst="rect">
                      <a:avLst/>
                    </a:prstGeom>
                    <a:noFill/>
                    <a:ln>
                      <a:noFill/>
                    </a:ln>
                  </pic:spPr>
                </pic:pic>
              </a:graphicData>
            </a:graphic>
          </wp:inline>
        </w:drawing>
      </w:r>
    </w:p>
    <w:p w:rsidR="002E2068" w:rsidRDefault="003857FA" w:rsidP="002E2068">
      <w:r>
        <w:t xml:space="preserve">Kumulativ auf 6 Monate </w:t>
      </w:r>
      <w:r w:rsidR="00D85CAB">
        <w:t xml:space="preserve">gleichen </w:t>
      </w:r>
      <w:r>
        <w:t xml:space="preserve">sich Verbesserungen und Verschlechterungen </w:t>
      </w:r>
      <w:r w:rsidR="00D85CAB">
        <w:t xml:space="preserve">der einzelnen Verfahren weitgehend aus. </w:t>
      </w:r>
    </w:p>
    <w:p w:rsidR="00AC5511" w:rsidRDefault="00AC5511" w:rsidP="002E2068"/>
    <w:p w:rsidR="003857FA" w:rsidRPr="005F0072" w:rsidRDefault="00DC4F73" w:rsidP="002E2068">
      <w:pPr>
        <w:rPr>
          <w:b/>
          <w:u w:val="single"/>
        </w:rPr>
      </w:pPr>
      <w:r w:rsidRPr="00D85CAB">
        <w:rPr>
          <w:b/>
          <w:u w:val="single"/>
        </w:rPr>
        <w:t>Ergebnisse</w:t>
      </w:r>
      <w:r w:rsidR="005F0072">
        <w:rPr>
          <w:b/>
          <w:u w:val="single"/>
        </w:rPr>
        <w:t xml:space="preserve"> bei Prognose ohne vorherige Verfahrensauswahl</w:t>
      </w:r>
    </w:p>
    <w:p w:rsidR="002E2068" w:rsidRDefault="005F0072" w:rsidP="005F0072">
      <w:r>
        <w:t xml:space="preserve">Bei der Prognose </w:t>
      </w:r>
      <w:r w:rsidRPr="005F0072">
        <w:t xml:space="preserve">ohne vorherige Verfahrensauswahl </w:t>
      </w:r>
      <w:r>
        <w:t>sind die Auswirkungen auf die Prognosegenauigkeit nicht eindeutig aus der Auswertung ableitbar.</w:t>
      </w:r>
    </w:p>
    <w:p w:rsidR="005F0072" w:rsidRDefault="005F0072" w:rsidP="005F0072">
      <w:pPr>
        <w:jc w:val="center"/>
      </w:pPr>
      <w:r w:rsidRPr="001C67E5">
        <w:rPr>
          <w:noProof/>
          <w:lang w:eastAsia="de-DE"/>
        </w:rPr>
        <w:drawing>
          <wp:inline distT="0" distB="0" distL="0" distR="0" wp14:anchorId="4FFDDCF1" wp14:editId="5911E8B5">
            <wp:extent cx="4408170" cy="957580"/>
            <wp:effectExtent l="0" t="0" r="0" b="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408170" cy="957580"/>
                    </a:xfrm>
                    <a:prstGeom prst="rect">
                      <a:avLst/>
                    </a:prstGeom>
                    <a:noFill/>
                    <a:ln>
                      <a:noFill/>
                    </a:ln>
                  </pic:spPr>
                </pic:pic>
              </a:graphicData>
            </a:graphic>
          </wp:inline>
        </w:drawing>
      </w:r>
    </w:p>
    <w:p w:rsidR="005F0072" w:rsidRDefault="005F0072" w:rsidP="005F0072">
      <w:r>
        <w:t xml:space="preserve">Auch hier ist eine verbesserte Verfahrensauswahl für saisonale Verbrauchsreihen durch die Einbeziehung des Saisonindikators ersichtlich. </w:t>
      </w:r>
    </w:p>
    <w:p w:rsidR="005F0072" w:rsidRDefault="005F0072" w:rsidP="005F0072">
      <w:r>
        <w:t>Die Anzahl ausgewählter „bester“ Prognoseverfahren hat sich zudem verringert (Basis 668 Verbrauchsreihen).</w:t>
      </w:r>
    </w:p>
    <w:p w:rsidR="005F0072" w:rsidRPr="00192BA8" w:rsidRDefault="005F0072" w:rsidP="005F0072">
      <w:pPr>
        <w:rPr>
          <w:u w:val="single"/>
        </w:rPr>
      </w:pPr>
      <w:r w:rsidRPr="00192BA8">
        <w:rPr>
          <w:u w:val="single"/>
        </w:rPr>
        <w:t>Durchschnittliche FA nach XYZ:</w:t>
      </w:r>
    </w:p>
    <w:p w:rsidR="005F0072" w:rsidRDefault="005F0072" w:rsidP="005F0072">
      <w:pPr>
        <w:jc w:val="center"/>
      </w:pPr>
      <w:r w:rsidRPr="003C2EEB">
        <w:rPr>
          <w:noProof/>
          <w:lang w:eastAsia="de-DE"/>
        </w:rPr>
        <w:drawing>
          <wp:inline distT="0" distB="0" distL="0" distR="0" wp14:anchorId="32D53EB2" wp14:editId="39D2F8CC">
            <wp:extent cx="5042535" cy="2583180"/>
            <wp:effectExtent l="0" t="0" r="5715" b="762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042535" cy="2583180"/>
                    </a:xfrm>
                    <a:prstGeom prst="rect">
                      <a:avLst/>
                    </a:prstGeom>
                    <a:noFill/>
                    <a:ln>
                      <a:noFill/>
                    </a:ln>
                  </pic:spPr>
                </pic:pic>
              </a:graphicData>
            </a:graphic>
          </wp:inline>
        </w:drawing>
      </w:r>
    </w:p>
    <w:p w:rsidR="005F0072" w:rsidRDefault="005F0072" w:rsidP="005F0072"/>
    <w:p w:rsidR="005F0072" w:rsidRDefault="005F0072" w:rsidP="005F0072">
      <w:r>
        <w:lastRenderedPageBreak/>
        <w:t>Bezogen auf die XYZ Klassifizierung zeigen sich lediglich leichte Veränderungen. Die Verbesserung saisonaler Y Verbrauchsreihen gleicht sich aus durch eine Verschlechterung der nicht-saisonalen Verbrauchsreihen.</w:t>
      </w:r>
    </w:p>
    <w:p w:rsidR="005F0072" w:rsidRPr="00192BA8" w:rsidRDefault="005F0072" w:rsidP="005F0072">
      <w:pPr>
        <w:rPr>
          <w:u w:val="single"/>
        </w:rPr>
      </w:pPr>
      <w:r>
        <w:rPr>
          <w:u w:val="single"/>
        </w:rPr>
        <w:t>FA 1 (periodengerecht):</w:t>
      </w:r>
    </w:p>
    <w:p w:rsidR="005F0072" w:rsidRDefault="005F0072" w:rsidP="002E2068">
      <w:r w:rsidRPr="003C2EEB">
        <w:rPr>
          <w:noProof/>
          <w:lang w:eastAsia="de-DE"/>
        </w:rPr>
        <w:drawing>
          <wp:inline distT="0" distB="0" distL="0" distR="0" wp14:anchorId="02247B4B" wp14:editId="4C9A96BB">
            <wp:extent cx="5760720" cy="1947545"/>
            <wp:effectExtent l="0" t="0" r="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60720" cy="1947545"/>
                    </a:xfrm>
                    <a:prstGeom prst="rect">
                      <a:avLst/>
                    </a:prstGeom>
                    <a:noFill/>
                    <a:ln>
                      <a:noFill/>
                    </a:ln>
                  </pic:spPr>
                </pic:pic>
              </a:graphicData>
            </a:graphic>
          </wp:inline>
        </w:drawing>
      </w:r>
    </w:p>
    <w:p w:rsidR="00AC5511" w:rsidRDefault="00AC5511" w:rsidP="002E2068">
      <w:r>
        <w:t xml:space="preserve">Im Kurzfristbereich tritt hier tendenziell eine Verschlechterung der nicht-saisonalen Verbrauchsreihen ein. </w:t>
      </w:r>
    </w:p>
    <w:p w:rsidR="005F0072" w:rsidRPr="005F0072" w:rsidRDefault="005F0072" w:rsidP="002E2068">
      <w:pPr>
        <w:rPr>
          <w:u w:val="single"/>
        </w:rPr>
      </w:pPr>
      <w:r>
        <w:rPr>
          <w:u w:val="single"/>
        </w:rPr>
        <w:t>FA 3 (kumulativ):</w:t>
      </w:r>
    </w:p>
    <w:p w:rsidR="005F0072" w:rsidRDefault="005F0072" w:rsidP="002E2068">
      <w:r w:rsidRPr="00734DE0">
        <w:rPr>
          <w:noProof/>
          <w:lang w:eastAsia="de-DE"/>
        </w:rPr>
        <w:drawing>
          <wp:inline distT="0" distB="0" distL="0" distR="0" wp14:anchorId="2F802BE3" wp14:editId="632080E6">
            <wp:extent cx="5760720" cy="1947545"/>
            <wp:effectExtent l="0" t="0" r="0" b="0"/>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60720" cy="1947545"/>
                    </a:xfrm>
                    <a:prstGeom prst="rect">
                      <a:avLst/>
                    </a:prstGeom>
                    <a:noFill/>
                    <a:ln>
                      <a:noFill/>
                    </a:ln>
                  </pic:spPr>
                </pic:pic>
              </a:graphicData>
            </a:graphic>
          </wp:inline>
        </w:drawing>
      </w:r>
    </w:p>
    <w:p w:rsidR="005F0072" w:rsidRPr="00192BA8" w:rsidRDefault="005F0072" w:rsidP="005F0072">
      <w:pPr>
        <w:rPr>
          <w:u w:val="single"/>
        </w:rPr>
      </w:pPr>
      <w:r>
        <w:rPr>
          <w:u w:val="single"/>
        </w:rPr>
        <w:t>FA 6 (kumulativ):</w:t>
      </w:r>
    </w:p>
    <w:p w:rsidR="005F0072" w:rsidRDefault="005F0072" w:rsidP="002E2068">
      <w:r w:rsidRPr="00734DE0">
        <w:rPr>
          <w:noProof/>
          <w:lang w:eastAsia="de-DE"/>
        </w:rPr>
        <w:drawing>
          <wp:inline distT="0" distB="0" distL="0" distR="0" wp14:anchorId="354DA7EF" wp14:editId="7F303EF5">
            <wp:extent cx="5760720" cy="1947545"/>
            <wp:effectExtent l="0" t="0" r="0" b="0"/>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60720" cy="1947545"/>
                    </a:xfrm>
                    <a:prstGeom prst="rect">
                      <a:avLst/>
                    </a:prstGeom>
                    <a:noFill/>
                    <a:ln>
                      <a:noFill/>
                    </a:ln>
                  </pic:spPr>
                </pic:pic>
              </a:graphicData>
            </a:graphic>
          </wp:inline>
        </w:drawing>
      </w:r>
    </w:p>
    <w:p w:rsidR="002E2068" w:rsidRPr="00AC5511" w:rsidRDefault="00AC5511" w:rsidP="00570142">
      <w:r w:rsidRPr="00AC5511">
        <w:t>Im Mittelfristbereich gleichen sich Verbesserungen und Verschlechterungen durch die Nutzung des Saisonindikator anscheinend a</w:t>
      </w:r>
      <w:bookmarkStart w:id="0" w:name="_GoBack"/>
      <w:bookmarkEnd w:id="0"/>
      <w:r w:rsidRPr="00AC5511">
        <w:t>us.</w:t>
      </w:r>
    </w:p>
    <w:sectPr w:rsidR="002E2068" w:rsidRPr="00AC5511">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F54D26"/>
    <w:multiLevelType w:val="hybridMultilevel"/>
    <w:tmpl w:val="2D44CD98"/>
    <w:lvl w:ilvl="0" w:tplc="3AF2C48E">
      <w:numFmt w:val="bullet"/>
      <w:lvlText w:val="-"/>
      <w:lvlJc w:val="left"/>
      <w:pPr>
        <w:ind w:left="720" w:hanging="360"/>
      </w:pPr>
      <w:rPr>
        <w:rFonts w:ascii="Calibri" w:eastAsiaTheme="minorHAnsi" w:hAnsi="Calibri" w:cs="Calibri"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2AB821E7"/>
    <w:multiLevelType w:val="hybridMultilevel"/>
    <w:tmpl w:val="BD2AA538"/>
    <w:lvl w:ilvl="0" w:tplc="CA3A9E1A">
      <w:numFmt w:val="bullet"/>
      <w:lvlText w:val=""/>
      <w:lvlJc w:val="left"/>
      <w:pPr>
        <w:ind w:left="720" w:hanging="360"/>
      </w:pPr>
      <w:rPr>
        <w:rFonts w:ascii="Wingdings" w:eastAsiaTheme="minorHAnsi"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35117E7F"/>
    <w:multiLevelType w:val="hybridMultilevel"/>
    <w:tmpl w:val="1D4C4768"/>
    <w:lvl w:ilvl="0" w:tplc="3780B054">
      <w:start w:val="4"/>
      <w:numFmt w:val="bullet"/>
      <w:lvlText w:val=""/>
      <w:lvlJc w:val="left"/>
      <w:pPr>
        <w:ind w:left="720" w:hanging="360"/>
      </w:pPr>
      <w:rPr>
        <w:rFonts w:ascii="Wingdings" w:eastAsiaTheme="minorHAnsi"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39522E04"/>
    <w:multiLevelType w:val="hybridMultilevel"/>
    <w:tmpl w:val="C34EFD82"/>
    <w:lvl w:ilvl="0" w:tplc="2D22C804">
      <w:start w:val="4"/>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3E020231"/>
    <w:multiLevelType w:val="hybridMultilevel"/>
    <w:tmpl w:val="7444B78E"/>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40A7007C"/>
    <w:multiLevelType w:val="hybridMultilevel"/>
    <w:tmpl w:val="518E4C92"/>
    <w:lvl w:ilvl="0" w:tplc="D2025640">
      <w:start w:val="1"/>
      <w:numFmt w:val="lowerLetter"/>
      <w:lvlText w:val="%1)"/>
      <w:lvlJc w:val="left"/>
      <w:pPr>
        <w:ind w:left="1080" w:hanging="360"/>
      </w:pPr>
      <w:rPr>
        <w:rFonts w:hint="default"/>
      </w:rPr>
    </w:lvl>
    <w:lvl w:ilvl="1" w:tplc="04070019">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6" w15:restartNumberingAfterBreak="0">
    <w:nsid w:val="4DAD201B"/>
    <w:multiLevelType w:val="hybridMultilevel"/>
    <w:tmpl w:val="DDEC6520"/>
    <w:lvl w:ilvl="0" w:tplc="5506297C">
      <w:start w:val="4"/>
      <w:numFmt w:val="bullet"/>
      <w:lvlText w:val=""/>
      <w:lvlJc w:val="left"/>
      <w:pPr>
        <w:ind w:left="720" w:hanging="360"/>
      </w:pPr>
      <w:rPr>
        <w:rFonts w:ascii="Wingdings" w:eastAsiaTheme="minorHAnsi"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4EE0355B"/>
    <w:multiLevelType w:val="hybridMultilevel"/>
    <w:tmpl w:val="1AEC3764"/>
    <w:lvl w:ilvl="0" w:tplc="EDD6E202">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73F26D5B"/>
    <w:multiLevelType w:val="hybridMultilevel"/>
    <w:tmpl w:val="6D0C00CC"/>
    <w:lvl w:ilvl="0" w:tplc="5AFABA2A">
      <w:start w:val="4"/>
      <w:numFmt w:val="bullet"/>
      <w:lvlText w:val="-"/>
      <w:lvlJc w:val="left"/>
      <w:pPr>
        <w:ind w:left="720" w:hanging="360"/>
      </w:pPr>
      <w:rPr>
        <w:rFonts w:ascii="Calibri" w:eastAsiaTheme="minorHAnsi" w:hAnsi="Calibri" w:cs="Calibri"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77AE294E"/>
    <w:multiLevelType w:val="hybridMultilevel"/>
    <w:tmpl w:val="0E589A4E"/>
    <w:lvl w:ilvl="0" w:tplc="3E7ED698">
      <w:numFmt w:val="bullet"/>
      <w:lvlText w:val="-"/>
      <w:lvlJc w:val="left"/>
      <w:pPr>
        <w:ind w:left="720" w:hanging="360"/>
      </w:pPr>
      <w:rPr>
        <w:rFonts w:ascii="Calibri" w:eastAsiaTheme="minorHAnsi" w:hAnsi="Calibri" w:cs="Calibri"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7E060DDA"/>
    <w:multiLevelType w:val="hybridMultilevel"/>
    <w:tmpl w:val="91F6358E"/>
    <w:lvl w:ilvl="0" w:tplc="1A800984">
      <w:numFmt w:val="bullet"/>
      <w:lvlText w:val="-"/>
      <w:lvlJc w:val="left"/>
      <w:pPr>
        <w:ind w:left="720" w:hanging="360"/>
      </w:pPr>
      <w:rPr>
        <w:rFonts w:ascii="Calibri" w:eastAsiaTheme="minorHAnsi" w:hAnsi="Calibri" w:cs="Calibri"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10"/>
  </w:num>
  <w:num w:numId="3">
    <w:abstractNumId w:val="2"/>
  </w:num>
  <w:num w:numId="4">
    <w:abstractNumId w:val="9"/>
  </w:num>
  <w:num w:numId="5">
    <w:abstractNumId w:val="7"/>
  </w:num>
  <w:num w:numId="6">
    <w:abstractNumId w:val="8"/>
  </w:num>
  <w:num w:numId="7">
    <w:abstractNumId w:val="4"/>
  </w:num>
  <w:num w:numId="8">
    <w:abstractNumId w:val="3"/>
  </w:num>
  <w:num w:numId="9">
    <w:abstractNumId w:val="6"/>
  </w:num>
  <w:num w:numId="10">
    <w:abstractNumId w:val="1"/>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1082"/>
    <w:rsid w:val="000105AB"/>
    <w:rsid w:val="00041BAA"/>
    <w:rsid w:val="00053CDF"/>
    <w:rsid w:val="00085605"/>
    <w:rsid w:val="000967DC"/>
    <w:rsid w:val="00105498"/>
    <w:rsid w:val="0012533D"/>
    <w:rsid w:val="001627FE"/>
    <w:rsid w:val="00192BA8"/>
    <w:rsid w:val="001A2BB0"/>
    <w:rsid w:val="001B58EF"/>
    <w:rsid w:val="00207EB4"/>
    <w:rsid w:val="002734C2"/>
    <w:rsid w:val="00291D9A"/>
    <w:rsid w:val="002E2068"/>
    <w:rsid w:val="0033471F"/>
    <w:rsid w:val="0034678B"/>
    <w:rsid w:val="00376577"/>
    <w:rsid w:val="003857FA"/>
    <w:rsid w:val="003B0EF1"/>
    <w:rsid w:val="003D403A"/>
    <w:rsid w:val="004C4324"/>
    <w:rsid w:val="005430C1"/>
    <w:rsid w:val="00570142"/>
    <w:rsid w:val="005F0072"/>
    <w:rsid w:val="005F06F4"/>
    <w:rsid w:val="006225CD"/>
    <w:rsid w:val="00673F37"/>
    <w:rsid w:val="00693508"/>
    <w:rsid w:val="00693826"/>
    <w:rsid w:val="006E0F28"/>
    <w:rsid w:val="007001F7"/>
    <w:rsid w:val="00700DFB"/>
    <w:rsid w:val="00741FF4"/>
    <w:rsid w:val="00763584"/>
    <w:rsid w:val="0077053A"/>
    <w:rsid w:val="007B399F"/>
    <w:rsid w:val="007F2516"/>
    <w:rsid w:val="008555BB"/>
    <w:rsid w:val="0090409E"/>
    <w:rsid w:val="00912D09"/>
    <w:rsid w:val="00961082"/>
    <w:rsid w:val="009D1D07"/>
    <w:rsid w:val="00A36F1F"/>
    <w:rsid w:val="00AC5511"/>
    <w:rsid w:val="00B152D4"/>
    <w:rsid w:val="00BF2AE5"/>
    <w:rsid w:val="00C57040"/>
    <w:rsid w:val="00C5738B"/>
    <w:rsid w:val="00CB403B"/>
    <w:rsid w:val="00D2093D"/>
    <w:rsid w:val="00D52A67"/>
    <w:rsid w:val="00D7417B"/>
    <w:rsid w:val="00D85CAB"/>
    <w:rsid w:val="00DB6948"/>
    <w:rsid w:val="00DC4F73"/>
    <w:rsid w:val="00E8612F"/>
    <w:rsid w:val="00EE38F1"/>
    <w:rsid w:val="00F350F3"/>
    <w:rsid w:val="00F8377E"/>
    <w:rsid w:val="00F95D57"/>
    <w:rsid w:val="00FC3097"/>
    <w:rsid w:val="00FE60C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121F05"/>
  <w15:chartTrackingRefBased/>
  <w15:docId w15:val="{F29263E6-606E-4353-909B-9C99D52055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961082"/>
    <w:pPr>
      <w:ind w:left="720"/>
      <w:contextualSpacing/>
    </w:pPr>
  </w:style>
  <w:style w:type="character" w:styleId="Platzhaltertext">
    <w:name w:val="Placeholder Text"/>
    <w:basedOn w:val="Absatz-Standardschriftart"/>
    <w:uiPriority w:val="99"/>
    <w:semiHidden/>
    <w:rsid w:val="00961082"/>
    <w:rPr>
      <w:color w:val="808080"/>
    </w:rPr>
  </w:style>
  <w:style w:type="table" w:styleId="Tabellenraster">
    <w:name w:val="Table Grid"/>
    <w:basedOn w:val="NormaleTabelle"/>
    <w:uiPriority w:val="39"/>
    <w:rsid w:val="005F06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8709892">
      <w:bodyDiv w:val="1"/>
      <w:marLeft w:val="0"/>
      <w:marRight w:val="0"/>
      <w:marTop w:val="0"/>
      <w:marBottom w:val="0"/>
      <w:divBdr>
        <w:top w:val="none" w:sz="0" w:space="0" w:color="auto"/>
        <w:left w:val="none" w:sz="0" w:space="0" w:color="auto"/>
        <w:bottom w:val="none" w:sz="0" w:space="0" w:color="auto"/>
        <w:right w:val="none" w:sz="0" w:space="0" w:color="auto"/>
      </w:divBdr>
    </w:div>
    <w:div w:id="557474783">
      <w:bodyDiv w:val="1"/>
      <w:marLeft w:val="0"/>
      <w:marRight w:val="0"/>
      <w:marTop w:val="0"/>
      <w:marBottom w:val="0"/>
      <w:divBdr>
        <w:top w:val="none" w:sz="0" w:space="0" w:color="auto"/>
        <w:left w:val="none" w:sz="0" w:space="0" w:color="auto"/>
        <w:bottom w:val="none" w:sz="0" w:space="0" w:color="auto"/>
        <w:right w:val="none" w:sz="0" w:space="0" w:color="auto"/>
      </w:divBdr>
    </w:div>
    <w:div w:id="750665811">
      <w:bodyDiv w:val="1"/>
      <w:marLeft w:val="0"/>
      <w:marRight w:val="0"/>
      <w:marTop w:val="0"/>
      <w:marBottom w:val="0"/>
      <w:divBdr>
        <w:top w:val="none" w:sz="0" w:space="0" w:color="auto"/>
        <w:left w:val="none" w:sz="0" w:space="0" w:color="auto"/>
        <w:bottom w:val="none" w:sz="0" w:space="0" w:color="auto"/>
        <w:right w:val="none" w:sz="0" w:space="0" w:color="auto"/>
      </w:divBdr>
    </w:div>
    <w:div w:id="853806869">
      <w:bodyDiv w:val="1"/>
      <w:marLeft w:val="0"/>
      <w:marRight w:val="0"/>
      <w:marTop w:val="0"/>
      <w:marBottom w:val="0"/>
      <w:divBdr>
        <w:top w:val="none" w:sz="0" w:space="0" w:color="auto"/>
        <w:left w:val="none" w:sz="0" w:space="0" w:color="auto"/>
        <w:bottom w:val="none" w:sz="0" w:space="0" w:color="auto"/>
        <w:right w:val="none" w:sz="0" w:space="0" w:color="auto"/>
      </w:divBdr>
    </w:div>
    <w:div w:id="1596354232">
      <w:bodyDiv w:val="1"/>
      <w:marLeft w:val="0"/>
      <w:marRight w:val="0"/>
      <w:marTop w:val="0"/>
      <w:marBottom w:val="0"/>
      <w:divBdr>
        <w:top w:val="none" w:sz="0" w:space="0" w:color="auto"/>
        <w:left w:val="none" w:sz="0" w:space="0" w:color="auto"/>
        <w:bottom w:val="none" w:sz="0" w:space="0" w:color="auto"/>
        <w:right w:val="none" w:sz="0" w:space="0" w:color="auto"/>
      </w:divBdr>
    </w:div>
    <w:div w:id="1616135468">
      <w:bodyDiv w:val="1"/>
      <w:marLeft w:val="0"/>
      <w:marRight w:val="0"/>
      <w:marTop w:val="0"/>
      <w:marBottom w:val="0"/>
      <w:divBdr>
        <w:top w:val="none" w:sz="0" w:space="0" w:color="auto"/>
        <w:left w:val="none" w:sz="0" w:space="0" w:color="auto"/>
        <w:bottom w:val="none" w:sz="0" w:space="0" w:color="auto"/>
        <w:right w:val="none" w:sz="0" w:space="0" w:color="auto"/>
      </w:divBdr>
    </w:div>
    <w:div w:id="1652174986">
      <w:bodyDiv w:val="1"/>
      <w:marLeft w:val="0"/>
      <w:marRight w:val="0"/>
      <w:marTop w:val="0"/>
      <w:marBottom w:val="0"/>
      <w:divBdr>
        <w:top w:val="none" w:sz="0" w:space="0" w:color="auto"/>
        <w:left w:val="none" w:sz="0" w:space="0" w:color="auto"/>
        <w:bottom w:val="none" w:sz="0" w:space="0" w:color="auto"/>
        <w:right w:val="none" w:sz="0" w:space="0" w:color="auto"/>
      </w:divBdr>
    </w:div>
    <w:div w:id="18989750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emf"/><Relationship Id="rId18" Type="http://schemas.openxmlformats.org/officeDocument/2006/relationships/image" Target="media/image14.emf"/><Relationship Id="rId26" Type="http://schemas.openxmlformats.org/officeDocument/2006/relationships/image" Target="media/image22.emf"/><Relationship Id="rId3" Type="http://schemas.openxmlformats.org/officeDocument/2006/relationships/settings" Target="settings.xml"/><Relationship Id="rId21" Type="http://schemas.openxmlformats.org/officeDocument/2006/relationships/image" Target="media/image17.emf"/><Relationship Id="rId7" Type="http://schemas.openxmlformats.org/officeDocument/2006/relationships/image" Target="media/image3.png"/><Relationship Id="rId12" Type="http://schemas.openxmlformats.org/officeDocument/2006/relationships/image" Target="media/image8.png"/><Relationship Id="rId17" Type="http://schemas.openxmlformats.org/officeDocument/2006/relationships/image" Target="media/image13.emf"/><Relationship Id="rId25" Type="http://schemas.openxmlformats.org/officeDocument/2006/relationships/image" Target="media/image21.emf"/><Relationship Id="rId2" Type="http://schemas.openxmlformats.org/officeDocument/2006/relationships/styles" Target="styles.xml"/><Relationship Id="rId16" Type="http://schemas.openxmlformats.org/officeDocument/2006/relationships/image" Target="media/image12.png"/><Relationship Id="rId20" Type="http://schemas.openxmlformats.org/officeDocument/2006/relationships/image" Target="media/image16.emf"/><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24" Type="http://schemas.openxmlformats.org/officeDocument/2006/relationships/image" Target="media/image20.emf"/><Relationship Id="rId5" Type="http://schemas.openxmlformats.org/officeDocument/2006/relationships/image" Target="media/image1.emf"/><Relationship Id="rId15" Type="http://schemas.openxmlformats.org/officeDocument/2006/relationships/image" Target="media/image11.png"/><Relationship Id="rId23" Type="http://schemas.openxmlformats.org/officeDocument/2006/relationships/image" Target="media/image19.emf"/><Relationship Id="rId28" Type="http://schemas.openxmlformats.org/officeDocument/2006/relationships/image" Target="media/image24.emf"/><Relationship Id="rId10" Type="http://schemas.openxmlformats.org/officeDocument/2006/relationships/image" Target="media/image6.emf"/><Relationship Id="rId19" Type="http://schemas.openxmlformats.org/officeDocument/2006/relationships/image" Target="media/image15.emf"/><Relationship Id="rId4" Type="http://schemas.openxmlformats.org/officeDocument/2006/relationships/webSettings" Target="webSettings.xml"/><Relationship Id="rId9" Type="http://schemas.openxmlformats.org/officeDocument/2006/relationships/image" Target="media/image5.emf"/><Relationship Id="rId14" Type="http://schemas.openxmlformats.org/officeDocument/2006/relationships/image" Target="media/image10.png"/><Relationship Id="rId22" Type="http://schemas.openxmlformats.org/officeDocument/2006/relationships/image" Target="media/image18.emf"/><Relationship Id="rId27" Type="http://schemas.openxmlformats.org/officeDocument/2006/relationships/image" Target="media/image23.emf"/><Relationship Id="rId30"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2707</Words>
  <Characters>17061</Characters>
  <Application>Microsoft Office Word</Application>
  <DocSecurity>0</DocSecurity>
  <Lines>142</Lines>
  <Paragraphs>39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19729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Martina, Klaas</dc:creator>
  <cp:keywords/>
  <dc:description/>
  <cp:lastModifiedBy>Martina, Klaas</cp:lastModifiedBy>
  <cp:revision>12</cp:revision>
  <dcterms:created xsi:type="dcterms:W3CDTF">2019-01-31T04:51:00Z</dcterms:created>
  <dcterms:modified xsi:type="dcterms:W3CDTF">2019-02-01T11:05:00Z</dcterms:modified>
</cp:coreProperties>
</file>