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350F3" w:rsidRPr="008A1AF2" w:rsidRDefault="008A1AF2">
      <w:pPr>
        <w:rPr>
          <w:b/>
          <w:u w:val="single"/>
        </w:rPr>
      </w:pPr>
      <w:r w:rsidRPr="008A1AF2">
        <w:rPr>
          <w:b/>
          <w:u w:val="single"/>
        </w:rPr>
        <w:t>Trackingsignal „Saisonindikator“</w:t>
      </w:r>
    </w:p>
    <w:p w:rsidR="008A1AF2" w:rsidRDefault="008A1AF2"/>
    <w:p w:rsidR="008A1AF2" w:rsidRDefault="008A1AF2">
      <w:r>
        <w:t>Einführung eines neuen Trackingsignals „</w:t>
      </w:r>
      <w:r w:rsidRPr="00EA2D78">
        <w:rPr>
          <w:b/>
          <w:i/>
        </w:rPr>
        <w:t>Saisonindikator</w:t>
      </w:r>
      <w:r>
        <w:t>“ in die DCF Prognose.</w:t>
      </w:r>
    </w:p>
    <w:p w:rsidR="00836ED9" w:rsidRDefault="009B3F1E">
      <w:r>
        <w:t>Das</w:t>
      </w:r>
      <w:r w:rsidR="00EA2D78">
        <w:t xml:space="preserve"> neue</w:t>
      </w:r>
      <w:r>
        <w:t xml:space="preserve"> Trackingsignal gibt an, ob eine signifikante Autokorrelation </w:t>
      </w:r>
      <w:r w:rsidR="00836ED9">
        <w:t xml:space="preserve">der Verbrauchsdaten </w:t>
      </w:r>
      <w:r>
        <w:t>für die vorgegeben</w:t>
      </w:r>
      <w:r w:rsidR="00836ED9">
        <w:t>e</w:t>
      </w:r>
      <w:r>
        <w:t xml:space="preserve"> Saisonlänge vorliegt.</w:t>
      </w:r>
    </w:p>
    <w:p w:rsidR="000548C4" w:rsidRDefault="00836ED9" w:rsidP="00836ED9">
      <w:r>
        <w:t>Das Track</w:t>
      </w:r>
      <w:r w:rsidR="00EA2D78">
        <w:t>ingsignal soll bei der gezielt</w:t>
      </w:r>
      <w:r>
        <w:t xml:space="preserve">en Auswahl saisonaler </w:t>
      </w:r>
      <w:r w:rsidR="000548C4">
        <w:t xml:space="preserve">Prognoseverfahren unterstützen. Derzeit werden bei der automatischen Modellauswahl </w:t>
      </w:r>
      <w:r w:rsidR="00EA2D78">
        <w:t xml:space="preserve">immer </w:t>
      </w:r>
      <w:r w:rsidR="000548C4">
        <w:t>die saisonalen Prognoseverfahren unabhängig von der XYZ Klassifizierung ausgeführt. Bei der Berechnung des Variationskoeffizienten (Basis der XYZ Klassifizierung) wird nur die Stärke der Variation vom mittleren Verbrauchsniveau untersucht und davon auf die Prognostizierbarkeit geschlossen. Stabile saisonale Muster können durch geeignete Prognoseverfahren jedoch unabhängig von der Stärke der Variation gut vorhergesagt werden.</w:t>
      </w:r>
    </w:p>
    <w:p w:rsidR="00836ED9" w:rsidRDefault="000548C4" w:rsidP="00836ED9">
      <w:r>
        <w:t>Zu prüfen ist, ob a</w:t>
      </w:r>
      <w:r w:rsidR="00836ED9">
        <w:t xml:space="preserve">bhängig vom Vorliegen saisonaler Schwankungen saisonale Prognoseverfahren (SA, SF, WA, WM) </w:t>
      </w:r>
      <w:r>
        <w:t xml:space="preserve">sinnvoll </w:t>
      </w:r>
      <w:r w:rsidR="00836ED9">
        <w:t>ausgew</w:t>
      </w:r>
      <w:r>
        <w:t>ählt bzw. ausgeschlossen werden können.</w:t>
      </w:r>
    </w:p>
    <w:p w:rsidR="000548C4" w:rsidRDefault="000548C4" w:rsidP="008A1AF2"/>
    <w:p w:rsidR="000548C4" w:rsidRPr="003419B9" w:rsidRDefault="00EA2D78" w:rsidP="008A1AF2">
      <w:pPr>
        <w:rPr>
          <w:b/>
          <w:u w:val="single"/>
        </w:rPr>
      </w:pPr>
      <w:r>
        <w:rPr>
          <w:b/>
          <w:u w:val="single"/>
        </w:rPr>
        <w:t>Ermittlung</w:t>
      </w:r>
      <w:r w:rsidR="000548C4" w:rsidRPr="003419B9">
        <w:rPr>
          <w:b/>
          <w:u w:val="single"/>
        </w:rPr>
        <w:t>:</w:t>
      </w:r>
    </w:p>
    <w:p w:rsidR="008A1AF2" w:rsidRDefault="008A1AF2" w:rsidP="008A1AF2">
      <w:r>
        <w:t xml:space="preserve">Für das </w:t>
      </w:r>
      <w:r w:rsidR="00EA2D78">
        <w:t xml:space="preserve">neue </w:t>
      </w:r>
      <w:r>
        <w:t xml:space="preserve">Trackingsignal wird der </w:t>
      </w:r>
      <w:r w:rsidRPr="009B3F1E">
        <w:rPr>
          <w:b/>
          <w:i/>
        </w:rPr>
        <w:t>Autokorrelationskoeffizient</w:t>
      </w:r>
      <w:r>
        <w:t xml:space="preserve"> für die vorgegebene Saisonlänge ermittelt und auf </w:t>
      </w:r>
      <w:r w:rsidRPr="009B3F1E">
        <w:rPr>
          <w:b/>
          <w:i/>
        </w:rPr>
        <w:t>Signifikanz</w:t>
      </w:r>
      <w:r>
        <w:t xml:space="preserve"> geprüft.</w:t>
      </w:r>
    </w:p>
    <w:p w:rsidR="00AE05F1" w:rsidRDefault="008A1AF2" w:rsidP="008A1AF2">
      <w:r>
        <w:t xml:space="preserve">Der Autokorrelationskoeffizient </w:t>
      </w:r>
      <w:r w:rsidR="009B3F1E">
        <w:t>(</w:t>
      </w:r>
      <w:r w:rsidR="00EA2D78">
        <w:t xml:space="preserve">Werte </w:t>
      </w:r>
      <w:r w:rsidR="009B3F1E">
        <w:t xml:space="preserve">zwischen - 1 und 1) </w:t>
      </w:r>
      <w:r>
        <w:t xml:space="preserve">ermittelt Stärke und Richtung des Zusammenhangs zwischen den Werten unterschiedlicher Verbrauchsperioden. Der Zeitabstand der betrachteten Werte wird als </w:t>
      </w:r>
      <w:r w:rsidRPr="009B3F1E">
        <w:rPr>
          <w:b/>
          <w:i/>
        </w:rPr>
        <w:t xml:space="preserve">Lag </w:t>
      </w:r>
      <w:r>
        <w:t>bezeichnet</w:t>
      </w:r>
      <w:r w:rsidR="00AE05F1">
        <w:t xml:space="preserve">. Relativ große Werte des Autokorrelationskoeffizienten weisen auf einen engen Zusammenhang </w:t>
      </w:r>
      <w:r w:rsidR="00EA2D78">
        <w:t xml:space="preserve">der korrespondierenden </w:t>
      </w:r>
      <w:r w:rsidR="00AE05F1">
        <w:t xml:space="preserve">Perioden hin. Je mehr sich der Koeffizient Null nähert, desto geringer ist der zeitliche Zusammenhang. </w:t>
      </w:r>
    </w:p>
    <w:p w:rsidR="008A1AF2" w:rsidRDefault="008A1AF2" w:rsidP="008A1AF2">
      <w:r>
        <w:t xml:space="preserve">Im Kontext der Prognose </w:t>
      </w:r>
      <w:r w:rsidR="009B3F1E">
        <w:t xml:space="preserve">saisonaler Schwankungen ist vor allem </w:t>
      </w:r>
      <w:r>
        <w:t>das Vorliegen eines positiven Zusammenhangs</w:t>
      </w:r>
      <w:r w:rsidR="009B3F1E">
        <w:t xml:space="preserve"> interessant</w:t>
      </w:r>
      <w:r>
        <w:t xml:space="preserve">, d.h. stimmt die Abweichung der Verbrauchsmengen vom mittleren Verbrauch in </w:t>
      </w:r>
      <w:r w:rsidR="009B3F1E">
        <w:t xml:space="preserve">den </w:t>
      </w:r>
      <w:r>
        <w:t>korrespondierenden Perioden (Abstand jeweils eine Saisonlänge) bezüglich der Richtung überein. Negative Zusammenhänge werden nicht betrachtet.</w:t>
      </w:r>
    </w:p>
    <w:p w:rsidR="003419B9" w:rsidRDefault="003419B9" w:rsidP="008A1AF2">
      <w:r>
        <w:t xml:space="preserve">Als Lag wird die im DCF Parameter </w:t>
      </w:r>
      <w:r w:rsidRPr="003419B9">
        <w:rPr>
          <w:b/>
        </w:rPr>
        <w:t>„Parameter/Saison“</w:t>
      </w:r>
      <w:r>
        <w:t xml:space="preserve"> angegebene Saisonlänge verwendet.</w:t>
      </w:r>
    </w:p>
    <w:p w:rsidR="008A1AF2" w:rsidRDefault="008A1AF2" w:rsidP="008A1AF2">
      <w:r>
        <w:t xml:space="preserve">Basis für die Ermittlung des Autokorrelationskoeffizienten ist </w:t>
      </w:r>
      <w:r w:rsidR="003419B9">
        <w:t>eine</w:t>
      </w:r>
      <w:r>
        <w:t xml:space="preserve"> trendbereinigte Verbrauchsreihe. Trends überdecken saisonale Korrelationen und führen insbesondere für kurze </w:t>
      </w:r>
      <w:proofErr w:type="spellStart"/>
      <w:r>
        <w:t>Lags</w:t>
      </w:r>
      <w:proofErr w:type="spellEnd"/>
      <w:r>
        <w:t xml:space="preserve"> zu hoher Autokorrelation.</w:t>
      </w:r>
      <w:r w:rsidR="000548C4">
        <w:t xml:space="preserve"> Die trendbereinigte Zeitreihe zeigt den Verbrauchsverlauf, wenn d</w:t>
      </w:r>
      <w:r w:rsidR="00EA2D78">
        <w:t>er</w:t>
      </w:r>
      <w:r w:rsidR="000548C4">
        <w:t xml:space="preserve"> Trendfaktor nicht wirksam gewe</w:t>
      </w:r>
      <w:r w:rsidR="00EA2D78">
        <w:t>sen wäre</w:t>
      </w:r>
      <w:r w:rsidR="000548C4">
        <w:t>.</w:t>
      </w:r>
    </w:p>
    <w:p w:rsidR="003419B9" w:rsidRDefault="003419B9">
      <w:r>
        <w:t xml:space="preserve">Die Trendbereinigung wird mittels des per </w:t>
      </w:r>
      <w:r w:rsidRPr="00EA2D78">
        <w:rPr>
          <w:b/>
          <w:i/>
        </w:rPr>
        <w:t>linearer Regression</w:t>
      </w:r>
      <w:r>
        <w:t xml:space="preserve"> festgestellten Trendfaktors durchgeführt. D.h. für die Verbrauchsreihe wird die lineare Regressionsgleichung ermittelt:</w:t>
      </w:r>
    </w:p>
    <w:p w:rsidR="003419B9" w:rsidRDefault="003419B9">
      <m:oMathPara>
        <m:oMath>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=a+b*i</m:t>
          </m:r>
        </m:oMath>
      </m:oMathPara>
    </w:p>
    <w:p w:rsidR="003419B9" w:rsidRDefault="0061349F">
      <w:r>
        <w:t xml:space="preserve">mit </w:t>
      </w:r>
    </w:p>
    <w:p w:rsidR="0061349F" w:rsidRDefault="0061349F" w:rsidP="003F6FBE">
      <w:pPr>
        <w:pStyle w:val="Listenabsatz"/>
        <w:numPr>
          <w:ilvl w:val="0"/>
          <w:numId w:val="3"/>
        </w:numPr>
        <w:rPr>
          <w:rFonts w:eastAsiaTheme="minorEastAsia"/>
        </w:rPr>
      </w:pPr>
      <m:oMath>
        <m:sSub>
          <m:sSubPr>
            <m:ctrlPr>
              <w:rPr>
                <w:rFonts w:ascii="Cambria Math" w:hAnsi="Cambria Math"/>
                <w:i/>
              </w:rPr>
            </m:ctrlPr>
          </m:sSubPr>
          <m:e>
            <m:r>
              <w:rPr>
                <w:rFonts w:ascii="Cambria Math" w:hAnsi="Cambria Math"/>
              </w:rPr>
              <m:t>X</m:t>
            </m:r>
          </m:e>
          <m:sub>
            <m:d>
              <m:dPr>
                <m:ctrlPr>
                  <w:rPr>
                    <w:rFonts w:ascii="Cambria Math" w:hAnsi="Cambria Math"/>
                    <w:i/>
                  </w:rPr>
                </m:ctrlPr>
              </m:dPr>
              <m:e>
                <m:r>
                  <w:rPr>
                    <w:rFonts w:ascii="Cambria Math" w:hAnsi="Cambria Math"/>
                  </w:rPr>
                  <m:t>i</m:t>
                </m:r>
              </m:e>
            </m:d>
          </m:sub>
        </m:sSub>
        <m:r>
          <w:rPr>
            <w:rFonts w:ascii="Cambria Math" w:hAnsi="Cambria Math"/>
          </w:rPr>
          <m:t>:</m:t>
        </m:r>
      </m:oMath>
      <w:r>
        <w:rPr>
          <w:rFonts w:eastAsiaTheme="minorEastAsia"/>
        </w:rPr>
        <w:t xml:space="preserve"> Prognosewert </w:t>
      </w:r>
      <w:r w:rsidR="00EA2D78">
        <w:rPr>
          <w:rFonts w:eastAsiaTheme="minorEastAsia"/>
        </w:rPr>
        <w:t>Periode i</w:t>
      </w:r>
    </w:p>
    <w:p w:rsidR="0061349F" w:rsidRDefault="0061349F" w:rsidP="003F6FBE">
      <w:pPr>
        <w:pStyle w:val="Listenabsatz"/>
        <w:numPr>
          <w:ilvl w:val="0"/>
          <w:numId w:val="3"/>
        </w:numPr>
        <w:rPr>
          <w:rFonts w:eastAsiaTheme="minorEastAsia"/>
        </w:rPr>
      </w:pPr>
      <w:r>
        <w:rPr>
          <w:rFonts w:eastAsiaTheme="minorEastAsia"/>
        </w:rPr>
        <w:t>a: Achsenabschnitt der Regressionsgerade</w:t>
      </w:r>
    </w:p>
    <w:p w:rsidR="0061349F" w:rsidRDefault="0061349F" w:rsidP="003F6FBE">
      <w:pPr>
        <w:pStyle w:val="Listenabsatz"/>
        <w:numPr>
          <w:ilvl w:val="0"/>
          <w:numId w:val="3"/>
        </w:numPr>
        <w:rPr>
          <w:rFonts w:eastAsiaTheme="minorEastAsia"/>
        </w:rPr>
      </w:pPr>
      <w:r>
        <w:rPr>
          <w:rFonts w:eastAsiaTheme="minorEastAsia"/>
        </w:rPr>
        <w:t>b: Steigung der Regres</w:t>
      </w:r>
      <w:r w:rsidR="00EA2D78">
        <w:rPr>
          <w:rFonts w:eastAsiaTheme="minorEastAsia"/>
        </w:rPr>
        <w:t>sionsgerade</w:t>
      </w:r>
    </w:p>
    <w:p w:rsidR="00EA2D78" w:rsidRDefault="00EA2D78" w:rsidP="003F6FBE">
      <w:pPr>
        <w:pStyle w:val="Listenabsatz"/>
        <w:numPr>
          <w:ilvl w:val="0"/>
          <w:numId w:val="3"/>
        </w:numPr>
        <w:rPr>
          <w:rFonts w:eastAsiaTheme="minorEastAsia"/>
        </w:rPr>
      </w:pPr>
      <w:r>
        <w:rPr>
          <w:rFonts w:eastAsiaTheme="minorEastAsia"/>
        </w:rPr>
        <w:t>i: Periode.</w:t>
      </w:r>
    </w:p>
    <w:p w:rsidR="0061349F" w:rsidRDefault="0061349F" w:rsidP="0061349F">
      <w:pPr>
        <w:rPr>
          <w:rFonts w:eastAsiaTheme="minorEastAsia"/>
        </w:rPr>
      </w:pPr>
      <w:r>
        <w:rPr>
          <w:rFonts w:eastAsiaTheme="minorEastAsia"/>
        </w:rPr>
        <w:lastRenderedPageBreak/>
        <w:t>Der Verbrauch wird durch Subtraktion des linearen Trendfaktors korrigiert:</w:t>
      </w:r>
    </w:p>
    <w:p w:rsidR="0061349F" w:rsidRDefault="0061349F" w:rsidP="0061349F">
      <w:pPr>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 xml:space="preserve">korr(i) </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(i)</m:t>
              </m:r>
            </m:sub>
          </m:sSub>
          <m:r>
            <w:rPr>
              <w:rFonts w:ascii="Cambria Math" w:eastAsiaTheme="minorEastAsia" w:hAnsi="Cambria Math"/>
            </w:rPr>
            <m:t>-(b*i)</m:t>
          </m:r>
        </m:oMath>
      </m:oMathPara>
    </w:p>
    <w:p w:rsidR="0061349F" w:rsidRDefault="0061349F" w:rsidP="0061349F">
      <w:pPr>
        <w:rPr>
          <w:rFonts w:eastAsiaTheme="minorEastAsia"/>
        </w:rPr>
      </w:pPr>
    </w:p>
    <w:p w:rsidR="0061349F" w:rsidRPr="00EA2D78" w:rsidRDefault="0061349F" w:rsidP="0061349F">
      <w:pPr>
        <w:rPr>
          <w:rFonts w:eastAsiaTheme="minorEastAsia"/>
          <w:u w:val="single"/>
        </w:rPr>
      </w:pPr>
      <w:r w:rsidRPr="00EA2D78">
        <w:rPr>
          <w:rFonts w:eastAsiaTheme="minorEastAsia"/>
          <w:u w:val="single"/>
        </w:rPr>
        <w:t>Beispiel</w:t>
      </w:r>
      <w:r w:rsidR="00DA0DEA" w:rsidRPr="00EA2D78">
        <w:rPr>
          <w:rFonts w:eastAsiaTheme="minorEastAsia"/>
          <w:u w:val="single"/>
        </w:rPr>
        <w:t>e</w:t>
      </w:r>
      <w:r w:rsidRPr="00EA2D78">
        <w:rPr>
          <w:rFonts w:eastAsiaTheme="minorEastAsia"/>
          <w:u w:val="single"/>
        </w:rPr>
        <w:t xml:space="preserve"> </w:t>
      </w:r>
      <w:r w:rsidR="00EA2D78" w:rsidRPr="00EA2D78">
        <w:rPr>
          <w:rFonts w:eastAsiaTheme="minorEastAsia"/>
          <w:u w:val="single"/>
        </w:rPr>
        <w:t xml:space="preserve">Auswirkungen </w:t>
      </w:r>
      <w:r w:rsidRPr="00EA2D78">
        <w:rPr>
          <w:rFonts w:eastAsiaTheme="minorEastAsia"/>
          <w:u w:val="single"/>
        </w:rPr>
        <w:t>Trendbereinigung:</w:t>
      </w:r>
    </w:p>
    <w:p w:rsidR="003419B9" w:rsidRPr="00DA0DEA" w:rsidRDefault="0061349F" w:rsidP="00DA0DEA">
      <w:pPr>
        <w:jc w:val="center"/>
        <w:rPr>
          <w:rFonts w:eastAsiaTheme="minorEastAsia"/>
        </w:rPr>
      </w:pPr>
      <w:r>
        <w:rPr>
          <w:rFonts w:eastAsiaTheme="minorEastAsia"/>
          <w:noProof/>
          <w:lang w:eastAsia="de-DE"/>
        </w:rPr>
        <w:drawing>
          <wp:inline distT="0" distB="0" distL="0" distR="0" wp14:anchorId="643A2EC1">
            <wp:extent cx="2220148" cy="1334549"/>
            <wp:effectExtent l="0" t="0" r="889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267935" cy="1363274"/>
                    </a:xfrm>
                    <a:prstGeom prst="rect">
                      <a:avLst/>
                    </a:prstGeom>
                    <a:noFill/>
                  </pic:spPr>
                </pic:pic>
              </a:graphicData>
            </a:graphic>
          </wp:inline>
        </w:drawing>
      </w:r>
      <w:r w:rsidR="00DA0DEA">
        <w:rPr>
          <w:rFonts w:eastAsiaTheme="minorEastAsia"/>
        </w:rPr>
        <w:t xml:space="preserve"> </w:t>
      </w:r>
      <w:r w:rsidR="00DA0DEA">
        <w:rPr>
          <w:rFonts w:eastAsiaTheme="minorEastAsia"/>
          <w:noProof/>
          <w:lang w:eastAsia="de-DE"/>
        </w:rPr>
        <w:drawing>
          <wp:inline distT="0" distB="0" distL="0" distR="0" wp14:anchorId="76147880">
            <wp:extent cx="2211753" cy="1329502"/>
            <wp:effectExtent l="0" t="0" r="0" b="444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227622" cy="1339041"/>
                    </a:xfrm>
                    <a:prstGeom prst="rect">
                      <a:avLst/>
                    </a:prstGeom>
                    <a:noFill/>
                  </pic:spPr>
                </pic:pic>
              </a:graphicData>
            </a:graphic>
          </wp:inline>
        </w:drawing>
      </w:r>
    </w:p>
    <w:p w:rsidR="003419B9" w:rsidRDefault="00DA0DEA" w:rsidP="00DA0DEA">
      <w:pPr>
        <w:jc w:val="center"/>
      </w:pPr>
      <w:r>
        <w:rPr>
          <w:noProof/>
          <w:lang w:eastAsia="de-DE"/>
        </w:rPr>
        <w:drawing>
          <wp:inline distT="0" distB="0" distL="0" distR="0" wp14:anchorId="3497BB13">
            <wp:extent cx="2274744" cy="1367367"/>
            <wp:effectExtent l="0" t="0" r="0" b="4445"/>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292635" cy="1378122"/>
                    </a:xfrm>
                    <a:prstGeom prst="rect">
                      <a:avLst/>
                    </a:prstGeom>
                    <a:noFill/>
                  </pic:spPr>
                </pic:pic>
              </a:graphicData>
            </a:graphic>
          </wp:inline>
        </w:drawing>
      </w:r>
      <w:r>
        <w:t xml:space="preserve"> </w:t>
      </w:r>
      <w:r>
        <w:rPr>
          <w:noProof/>
          <w:lang w:eastAsia="de-DE"/>
        </w:rPr>
        <w:drawing>
          <wp:inline distT="0" distB="0" distL="0" distR="0" wp14:anchorId="3BAE45C1">
            <wp:extent cx="2281004" cy="1371130"/>
            <wp:effectExtent l="0" t="0" r="5080" b="635"/>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293168" cy="1378442"/>
                    </a:xfrm>
                    <a:prstGeom prst="rect">
                      <a:avLst/>
                    </a:prstGeom>
                    <a:noFill/>
                  </pic:spPr>
                </pic:pic>
              </a:graphicData>
            </a:graphic>
          </wp:inline>
        </w:drawing>
      </w:r>
    </w:p>
    <w:p w:rsidR="008A1AF2" w:rsidRDefault="008A1AF2"/>
    <w:p w:rsidR="008A1AF2" w:rsidRDefault="00DA0DEA" w:rsidP="008A1AF2">
      <w:r>
        <w:t xml:space="preserve">Auf Basis der trendbereinigten Verbrauchsreihe wird dann der </w:t>
      </w:r>
      <w:proofErr w:type="spellStart"/>
      <w:r w:rsidR="008A1AF2" w:rsidRPr="008F0C3B">
        <w:rPr>
          <w:b/>
          <w:i/>
        </w:rPr>
        <w:t>unverzerrte</w:t>
      </w:r>
      <w:proofErr w:type="spellEnd"/>
      <w:r w:rsidR="008A1AF2" w:rsidRPr="008F0C3B">
        <w:rPr>
          <w:b/>
          <w:i/>
        </w:rPr>
        <w:t xml:space="preserve"> Stichprobenautokorrelationskoeffizient</w:t>
      </w:r>
      <w:r w:rsidR="008A1AF2">
        <w:t xml:space="preserve"> ermittelt (analog zum Saisontest in der SAP Materialprognose):</w:t>
      </w:r>
    </w:p>
    <w:p w:rsidR="008A1AF2" w:rsidRPr="00B22F6A" w:rsidRDefault="008A1AF2" w:rsidP="008A1AF2">
      <w:pPr>
        <w:rPr>
          <w:rFonts w:eastAsiaTheme="minorEastAsia"/>
        </w:rPr>
      </w:pPr>
      <m:oMathPara>
        <m:oMath>
          <m:r>
            <w:rPr>
              <w:rFonts w:ascii="Cambria Math" w:hAnsi="Cambria Math"/>
            </w:rPr>
            <m:t>=</m:t>
          </m:r>
          <m:f>
            <m:fPr>
              <m:ctrlPr>
                <w:rPr>
                  <w:rFonts w:ascii="Cambria Math" w:hAnsi="Cambria Math"/>
                  <w:i/>
                </w:rPr>
              </m:ctrlPr>
            </m:fPr>
            <m:num>
              <m:f>
                <m:fPr>
                  <m:ctrlPr>
                    <w:rPr>
                      <w:rFonts w:ascii="Cambria Math" w:hAnsi="Cambria Math"/>
                      <w:i/>
                    </w:rPr>
                  </m:ctrlPr>
                </m:fPr>
                <m:num>
                  <m:r>
                    <w:rPr>
                      <w:rFonts w:ascii="Cambria Math" w:hAnsi="Cambria Math"/>
                    </w:rPr>
                    <m:t>1</m:t>
                  </m:r>
                </m:num>
                <m:den>
                  <m:r>
                    <w:rPr>
                      <w:rFonts w:ascii="Cambria Math" w:hAnsi="Cambria Math"/>
                    </w:rPr>
                    <m:t>N-L</m:t>
                  </m:r>
                </m:den>
              </m:f>
              <m:r>
                <w:rPr>
                  <w:rFonts w:ascii="Cambria Math" w:hAnsi="Cambria Math"/>
                </w:rPr>
                <m:t>*</m:t>
              </m:r>
              <m:nary>
                <m:naryPr>
                  <m:chr m:val="∑"/>
                  <m:limLoc m:val="undOvr"/>
                  <m:subHide m:val="1"/>
                  <m:supHide m:val="1"/>
                  <m:ctrlPr>
                    <w:rPr>
                      <w:rFonts w:ascii="Cambria Math" w:hAnsi="Cambria Math"/>
                      <w:i/>
                    </w:rPr>
                  </m:ctrlPr>
                </m:naryPr>
                <m:sub/>
                <m:sup/>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i+L</m:t>
                          </m:r>
                        </m:sub>
                      </m:sSub>
                      <m:r>
                        <w:rPr>
                          <w:rFonts w:ascii="Cambria Math" w:hAnsi="Cambria Math"/>
                        </w:rPr>
                        <m:t>-</m:t>
                      </m:r>
                      <m:acc>
                        <m:accPr>
                          <m:chr m:val="̅"/>
                          <m:ctrlPr>
                            <w:rPr>
                              <w:rFonts w:ascii="Cambria Math" w:hAnsi="Cambria Math"/>
                              <w:i/>
                            </w:rPr>
                          </m:ctrlPr>
                        </m:accPr>
                        <m:e>
                          <m:r>
                            <w:rPr>
                              <w:rFonts w:ascii="Cambria Math" w:hAnsi="Cambria Math"/>
                            </w:rPr>
                            <m:t>x</m:t>
                          </m:r>
                        </m:e>
                      </m:acc>
                    </m:e>
                  </m:d>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 xml:space="preserve">- </m:t>
                  </m:r>
                  <m:acc>
                    <m:accPr>
                      <m:chr m:val="̅"/>
                      <m:ctrlPr>
                        <w:rPr>
                          <w:rFonts w:ascii="Cambria Math" w:hAnsi="Cambria Math"/>
                          <w:i/>
                        </w:rPr>
                      </m:ctrlPr>
                    </m:accPr>
                    <m:e>
                      <m:r>
                        <w:rPr>
                          <w:rFonts w:ascii="Cambria Math" w:hAnsi="Cambria Math"/>
                        </w:rPr>
                        <m:t>x</m:t>
                      </m:r>
                    </m:e>
                  </m:acc>
                  <m:r>
                    <w:rPr>
                      <w:rFonts w:ascii="Cambria Math" w:hAnsi="Cambria Math"/>
                    </w:rPr>
                    <m:t>)</m:t>
                  </m:r>
                </m:e>
              </m:nary>
            </m:num>
            <m:den>
              <m:sSup>
                <m:sSupPr>
                  <m:ctrlPr>
                    <w:rPr>
                      <w:rFonts w:ascii="Cambria Math" w:hAnsi="Cambria Math"/>
                      <w:i/>
                    </w:rPr>
                  </m:ctrlPr>
                </m:sSupPr>
                <m:e>
                  <m:f>
                    <m:fPr>
                      <m:ctrlPr>
                        <w:rPr>
                          <w:rFonts w:ascii="Cambria Math" w:hAnsi="Cambria Math"/>
                          <w:i/>
                        </w:rPr>
                      </m:ctrlPr>
                    </m:fPr>
                    <m:num>
                      <m:r>
                        <w:rPr>
                          <w:rFonts w:ascii="Cambria Math" w:hAnsi="Cambria Math"/>
                        </w:rPr>
                        <m:t>1</m:t>
                      </m:r>
                    </m:num>
                    <m:den>
                      <m:r>
                        <w:rPr>
                          <w:rFonts w:ascii="Cambria Math" w:hAnsi="Cambria Math"/>
                        </w:rPr>
                        <m:t>N</m:t>
                      </m:r>
                    </m:den>
                  </m:f>
                  <m:nary>
                    <m:naryPr>
                      <m:chr m:val="∑"/>
                      <m:limLoc m:val="undOvr"/>
                      <m:subHide m:val="1"/>
                      <m:supHide m:val="1"/>
                      <m:ctrlPr>
                        <w:rPr>
                          <w:rFonts w:ascii="Cambria Math" w:hAnsi="Cambria Math"/>
                          <w:i/>
                        </w:rPr>
                      </m:ctrlPr>
                    </m:naryPr>
                    <m:sub/>
                    <m:sup/>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m:t>
                      </m:r>
                      <m:acc>
                        <m:accPr>
                          <m:chr m:val="̅"/>
                          <m:ctrlPr>
                            <w:rPr>
                              <w:rFonts w:ascii="Cambria Math" w:hAnsi="Cambria Math"/>
                              <w:i/>
                            </w:rPr>
                          </m:ctrlPr>
                        </m:accPr>
                        <m:e>
                          <m:r>
                            <w:rPr>
                              <w:rFonts w:ascii="Cambria Math" w:hAnsi="Cambria Math"/>
                            </w:rPr>
                            <m:t>x</m:t>
                          </m:r>
                        </m:e>
                      </m:acc>
                    </m:e>
                  </m:nary>
                  <m:r>
                    <w:rPr>
                      <w:rFonts w:ascii="Cambria Math" w:hAnsi="Cambria Math"/>
                    </w:rPr>
                    <m:t>)</m:t>
                  </m:r>
                </m:e>
                <m:sup>
                  <m:r>
                    <w:rPr>
                      <w:rFonts w:ascii="Cambria Math" w:hAnsi="Cambria Math"/>
                    </w:rPr>
                    <m:t>2</m:t>
                  </m:r>
                </m:sup>
              </m:sSup>
            </m:den>
          </m:f>
        </m:oMath>
      </m:oMathPara>
    </w:p>
    <w:p w:rsidR="008A1AF2" w:rsidRDefault="008A1AF2" w:rsidP="008A1AF2">
      <w:r>
        <w:t xml:space="preserve">mit </w:t>
      </w:r>
    </w:p>
    <w:p w:rsidR="008A1AF2" w:rsidRDefault="008A1AF2" w:rsidP="008A1AF2">
      <w:r>
        <w:t xml:space="preserve">N – Anzahl Vergangenheitswerte </w:t>
      </w:r>
    </w:p>
    <w:p w:rsidR="008A1AF2" w:rsidRDefault="008A1AF2" w:rsidP="008A1AF2">
      <w:r>
        <w:t>L – Perioden Saisonlänge</w:t>
      </w:r>
    </w:p>
    <w:p w:rsidR="008A1AF2" w:rsidRDefault="0092188B" w:rsidP="008A1AF2">
      <w:pPr>
        <w:rPr>
          <w:rFonts w:eastAsiaTheme="minorEastAsia"/>
        </w:rPr>
      </w:pPr>
      <m:oMath>
        <m:sSub>
          <m:sSubPr>
            <m:ctrlPr>
              <w:rPr>
                <w:rFonts w:ascii="Cambria Math" w:hAnsi="Cambria Math"/>
                <w:i/>
              </w:rPr>
            </m:ctrlPr>
          </m:sSubPr>
          <m:e>
            <m:r>
              <w:rPr>
                <w:rFonts w:ascii="Cambria Math" w:hAnsi="Cambria Math"/>
              </w:rPr>
              <m:t>x</m:t>
            </m:r>
          </m:e>
          <m:sub>
            <m:r>
              <w:rPr>
                <w:rFonts w:ascii="Cambria Math" w:hAnsi="Cambria Math"/>
              </w:rPr>
              <m:t>i</m:t>
            </m:r>
          </m:sub>
        </m:sSub>
      </m:oMath>
      <w:r w:rsidR="008A1AF2">
        <w:rPr>
          <w:rFonts w:eastAsiaTheme="minorEastAsia"/>
        </w:rPr>
        <w:t xml:space="preserve"> – Verbrauchswert zum Zeitpunkt i</w:t>
      </w:r>
    </w:p>
    <w:p w:rsidR="008A1AF2" w:rsidRDefault="0092188B" w:rsidP="008A1AF2">
      <m:oMath>
        <m:acc>
          <m:accPr>
            <m:chr m:val="̅"/>
            <m:ctrlPr>
              <w:rPr>
                <w:rFonts w:ascii="Cambria Math" w:hAnsi="Cambria Math"/>
                <w:i/>
              </w:rPr>
            </m:ctrlPr>
          </m:accPr>
          <m:e>
            <m:r>
              <w:rPr>
                <w:rFonts w:ascii="Cambria Math" w:hAnsi="Cambria Math"/>
              </w:rPr>
              <m:t>x</m:t>
            </m:r>
          </m:e>
        </m:acc>
      </m:oMath>
      <w:r w:rsidR="008A1AF2">
        <w:rPr>
          <w:rFonts w:eastAsiaTheme="minorEastAsia"/>
        </w:rPr>
        <w:t xml:space="preserve"> – Mittelwert Verbrauch.</w:t>
      </w:r>
    </w:p>
    <w:p w:rsidR="008A1AF2" w:rsidRDefault="008A1AF2" w:rsidP="008A1AF2"/>
    <w:p w:rsidR="009B3F1E" w:rsidRDefault="00836ED9" w:rsidP="008A1AF2">
      <w:r>
        <w:t xml:space="preserve">Voraussetzung für die Ermittlung des </w:t>
      </w:r>
      <w:r>
        <w:t>Autokorrelationskoeffizienten</w:t>
      </w:r>
      <w:r>
        <w:t xml:space="preserve"> ist eine </w:t>
      </w:r>
      <w:r>
        <w:t xml:space="preserve">Länge der Verbrauchsreihe </w:t>
      </w:r>
      <w:r>
        <w:rPr>
          <w:rFonts w:cstheme="minorHAnsi"/>
        </w:rPr>
        <w:t>≥</w:t>
      </w:r>
      <w:r>
        <w:t xml:space="preserve"> </w:t>
      </w:r>
      <w:r w:rsidRPr="008F0C3B">
        <w:rPr>
          <w:b/>
          <w:i/>
        </w:rPr>
        <w:t>2-fache</w:t>
      </w:r>
      <w:r w:rsidRPr="008F0C3B">
        <w:rPr>
          <w:b/>
          <w:i/>
        </w:rPr>
        <w:t xml:space="preserve"> Saisonlänge</w:t>
      </w:r>
      <w:r>
        <w:t>.</w:t>
      </w:r>
    </w:p>
    <w:p w:rsidR="00A15068" w:rsidRDefault="009B3F1E" w:rsidP="00A15068">
      <w:r>
        <w:t xml:space="preserve">Ein </w:t>
      </w:r>
      <w:r>
        <w:t>Autokor</w:t>
      </w:r>
      <w:r>
        <w:t xml:space="preserve">relationskoeffizient ungleich Null </w:t>
      </w:r>
      <w:r>
        <w:t xml:space="preserve">bedeutet nicht zwingend, dass ein </w:t>
      </w:r>
      <w:r w:rsidR="00A15068">
        <w:t xml:space="preserve">linearer </w:t>
      </w:r>
      <w:r>
        <w:t xml:space="preserve">statistischer Zusammenhang zwischen </w:t>
      </w:r>
      <w:r w:rsidR="00A15068">
        <w:t>den Verbrauchsperioden</w:t>
      </w:r>
      <w:r>
        <w:t xml:space="preserve"> im Sinne eine</w:t>
      </w:r>
      <w:r w:rsidR="00A15068">
        <w:t>r</w:t>
      </w:r>
      <w:r>
        <w:t xml:space="preserve"> saisonalen </w:t>
      </w:r>
      <w:r w:rsidR="00A15068">
        <w:t>Schwankung</w:t>
      </w:r>
      <w:r>
        <w:t xml:space="preserve"> </w:t>
      </w:r>
      <w:r w:rsidR="008F0C3B">
        <w:t>vorliegt</w:t>
      </w:r>
      <w:r w:rsidR="00A15068">
        <w:t xml:space="preserve">. </w:t>
      </w:r>
      <w:r w:rsidR="008F0C3B">
        <w:t>Es muss z</w:t>
      </w:r>
      <w:r w:rsidR="00A15068">
        <w:t xml:space="preserve">usätzlich geprüft werden, ob sich der </w:t>
      </w:r>
      <w:r>
        <w:t xml:space="preserve">ermittelte </w:t>
      </w:r>
      <w:r w:rsidR="00A15068">
        <w:t>Autok</w:t>
      </w:r>
      <w:r>
        <w:t xml:space="preserve">orrelationskoeffizient </w:t>
      </w:r>
      <w:r w:rsidRPr="008F0C3B">
        <w:rPr>
          <w:b/>
          <w:i/>
        </w:rPr>
        <w:t>signifikant</w:t>
      </w:r>
      <w:r w:rsidR="00A15068">
        <w:t xml:space="preserve"> von Null unterscheidet</w:t>
      </w:r>
      <w:r>
        <w:t xml:space="preserve">.  </w:t>
      </w:r>
      <w:r w:rsidR="00A15068">
        <w:t xml:space="preserve">Die Signifikanz hängt ab </w:t>
      </w:r>
      <w:r w:rsidR="008F0C3B">
        <w:t>von</w:t>
      </w:r>
      <w:r w:rsidR="00A15068">
        <w:t xml:space="preserve"> der Stärke des Zusammenhangs (Höhe des Koeffizienten) </w:t>
      </w:r>
      <w:r w:rsidR="008F0C3B">
        <w:t>und</w:t>
      </w:r>
      <w:r w:rsidR="00A15068">
        <w:t xml:space="preserve"> der Länge der Verbrauchsreihe (=Anzahl Periode</w:t>
      </w:r>
      <w:r w:rsidR="008F0C3B">
        <w:t>n)</w:t>
      </w:r>
      <w:r w:rsidR="00A15068">
        <w:t>.</w:t>
      </w:r>
    </w:p>
    <w:p w:rsidR="00F6774D" w:rsidRDefault="008F0C3B" w:rsidP="009B3F1E">
      <w:r>
        <w:lastRenderedPageBreak/>
        <w:t>Mittels</w:t>
      </w:r>
      <w:r w:rsidR="00141533">
        <w:t xml:space="preserve"> </w:t>
      </w:r>
      <w:r w:rsidR="00A15068" w:rsidRPr="008F0C3B">
        <w:rPr>
          <w:b/>
          <w:i/>
        </w:rPr>
        <w:t>t-Test</w:t>
      </w:r>
      <w:r>
        <w:t xml:space="preserve"> wird</w:t>
      </w:r>
      <w:r w:rsidR="00A15068">
        <w:t xml:space="preserve"> </w:t>
      </w:r>
      <w:r>
        <w:t>überpr</w:t>
      </w:r>
      <w:r w:rsidR="00A15068">
        <w:t>üft, ob die festgestellte Abweichung zufällig ist</w:t>
      </w:r>
      <w:r w:rsidR="00141533">
        <w:t xml:space="preserve"> und kein statistischer Zusammenhang besteht (Nullhypothese: Keine Autokorrelation). </w:t>
      </w:r>
    </w:p>
    <w:p w:rsidR="00F6774D" w:rsidRDefault="008F0C3B" w:rsidP="009B3F1E">
      <w:r>
        <w:t>Der</w:t>
      </w:r>
      <w:r w:rsidR="006848F0">
        <w:t xml:space="preserve"> </w:t>
      </w:r>
      <w:r w:rsidR="00F6774D">
        <w:t>t-</w:t>
      </w:r>
      <w:r w:rsidR="006848F0">
        <w:t xml:space="preserve">Test </w:t>
      </w:r>
      <w:r>
        <w:t xml:space="preserve">prüft gegen </w:t>
      </w:r>
      <w:r w:rsidR="006848F0">
        <w:t>eine spezielle Wahrscheinlichkeitsverteilung (</w:t>
      </w:r>
      <w:r>
        <w:t xml:space="preserve">sog. </w:t>
      </w:r>
      <w:r w:rsidR="006848F0">
        <w:t>t-Verteilung).</w:t>
      </w:r>
      <w:r w:rsidR="00F6774D">
        <w:t xml:space="preserve"> </w:t>
      </w:r>
      <w:r w:rsidR="00F6774D">
        <w:t xml:space="preserve">Zur Durchführung des Signifikanztests ist festzulegen, mit welcher </w:t>
      </w:r>
      <w:r w:rsidR="00F6774D" w:rsidRPr="008F0C3B">
        <w:rPr>
          <w:b/>
          <w:i/>
        </w:rPr>
        <w:t>Wahrscheinlichkeit</w:t>
      </w:r>
      <w:r w:rsidR="00F6774D">
        <w:t xml:space="preserve"> eine Fehlentscheidung bei Ablehnung der Nullhypothese hingenommen werden soll (</w:t>
      </w:r>
      <w:r w:rsidR="00F6774D" w:rsidRPr="008F0C3B">
        <w:rPr>
          <w:b/>
          <w:i/>
        </w:rPr>
        <w:t xml:space="preserve">sog. Fehler 1. Art oder </w:t>
      </w:r>
      <w:r>
        <w:rPr>
          <w:rFonts w:cstheme="minorHAnsi"/>
          <w:b/>
          <w:i/>
        </w:rPr>
        <w:t>α</w:t>
      </w:r>
      <w:r w:rsidR="00F6774D" w:rsidRPr="008F0C3B">
        <w:rPr>
          <w:b/>
          <w:i/>
        </w:rPr>
        <w:t>-Fehler).</w:t>
      </w:r>
      <w:r w:rsidR="00F6774D">
        <w:t xml:space="preserve"> Mit dieser Festlegung kann das Signifikanzniveau als </w:t>
      </w:r>
      <w:r>
        <w:t>Grenze des Konfidenzintervalls</w:t>
      </w:r>
      <w:r w:rsidR="00F6774D">
        <w:t xml:space="preserve"> ermittelt werden. Ist der ermittelte Autokorrelationskoeffizient größer als das Signifikanzniveau, muss die Nullhypothese abgelegt werden und die festgestellte Autokorrelation </w:t>
      </w:r>
      <w:r>
        <w:t xml:space="preserve">gilt </w:t>
      </w:r>
      <w:r w:rsidR="00F6774D">
        <w:t>damit als statistisch signifikant.</w:t>
      </w:r>
    </w:p>
    <w:p w:rsidR="00F6774D" w:rsidRDefault="00F6774D" w:rsidP="00F6774D">
      <w:pPr>
        <w:jc w:val="center"/>
      </w:pPr>
      <w:r>
        <w:rPr>
          <w:noProof/>
          <w:lang w:eastAsia="de-DE"/>
        </w:rPr>
        <w:drawing>
          <wp:inline distT="0" distB="0" distL="0" distR="0" wp14:anchorId="5BB7F210" wp14:editId="14E65678">
            <wp:extent cx="3151251" cy="2075980"/>
            <wp:effectExtent l="0" t="0" r="0" b="63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156031" cy="2079129"/>
                    </a:xfrm>
                    <a:prstGeom prst="rect">
                      <a:avLst/>
                    </a:prstGeom>
                  </pic:spPr>
                </pic:pic>
              </a:graphicData>
            </a:graphic>
          </wp:inline>
        </w:drawing>
      </w:r>
    </w:p>
    <w:p w:rsidR="00F6774D" w:rsidRPr="00F6774D" w:rsidRDefault="00F6774D" w:rsidP="00F6774D">
      <w:pPr>
        <w:jc w:val="center"/>
        <w:rPr>
          <w:sz w:val="16"/>
          <w:szCs w:val="16"/>
        </w:rPr>
      </w:pPr>
      <w:r w:rsidRPr="00F6774D">
        <w:rPr>
          <w:sz w:val="16"/>
          <w:szCs w:val="16"/>
        </w:rPr>
        <w:t>(Quelle: https://www.statistik-nachhilfe.de/ratgeber/statistik/induktive-statistik/signifikanztests-hypothesentests/testtheorie/kritischer-wert-p-wert-ablehnungsbereich-annahmebereich)</w:t>
      </w:r>
    </w:p>
    <w:p w:rsidR="00F6774D" w:rsidRDefault="006848F0" w:rsidP="00141533">
      <w:r>
        <w:t xml:space="preserve">Üblich ist ein Signifikanzniveau von </w:t>
      </w:r>
      <w:r w:rsidRPr="008F0C3B">
        <w:rPr>
          <w:b/>
          <w:i/>
        </w:rPr>
        <w:t>5%</w:t>
      </w:r>
      <w:r>
        <w:t xml:space="preserve"> (</w:t>
      </w:r>
      <w:r w:rsidR="00836ED9">
        <w:rPr>
          <w:rFonts w:cstheme="minorHAnsi"/>
        </w:rPr>
        <w:t>α</w:t>
      </w:r>
      <w:r>
        <w:t xml:space="preserve"> = 0,05). Daraus ermittelt sich ein Konfidenzintervall</w:t>
      </w:r>
      <w:r w:rsidR="00F6774D">
        <w:t xml:space="preserve"> für einen zweiseitigen Signifikanztest. Für</w:t>
      </w:r>
      <w:r>
        <w:t xml:space="preserve"> die Prüfung auf </w:t>
      </w:r>
      <w:r w:rsidR="008F0C3B">
        <w:t>saisonale Schwankungen</w:t>
      </w:r>
      <w:r>
        <w:t xml:space="preserve"> </w:t>
      </w:r>
      <w:r w:rsidR="00F6774D">
        <w:t>ist</w:t>
      </w:r>
      <w:r w:rsidR="00836ED9">
        <w:t xml:space="preserve"> hier</w:t>
      </w:r>
      <w:r w:rsidR="00F6774D">
        <w:t xml:space="preserve"> </w:t>
      </w:r>
      <w:r>
        <w:t>nur die o</w:t>
      </w:r>
      <w:r w:rsidR="00F6774D">
        <w:t>bere Signifikanzgrenze relevant (</w:t>
      </w:r>
      <w:r w:rsidR="00F6774D" w:rsidRPr="008F0C3B">
        <w:rPr>
          <w:b/>
          <w:i/>
        </w:rPr>
        <w:t>einseitiger Signifikanztest</w:t>
      </w:r>
      <w:r w:rsidR="00F6774D">
        <w:t xml:space="preserve">). </w:t>
      </w:r>
      <w:r w:rsidR="00836ED9">
        <w:t xml:space="preserve">Für </w:t>
      </w:r>
      <w:r w:rsidR="00836ED9">
        <w:rPr>
          <w:rFonts w:eastAsiaTheme="minorEastAsia" w:cstheme="minorHAnsi"/>
        </w:rPr>
        <w:t xml:space="preserve">α = 0,05 </w:t>
      </w:r>
      <w:r w:rsidR="008F0C3B">
        <w:rPr>
          <w:rFonts w:eastAsiaTheme="minorEastAsia" w:cstheme="minorHAnsi"/>
        </w:rPr>
        <w:t xml:space="preserve">ergibt sich als </w:t>
      </w:r>
      <w:r w:rsidR="00836ED9">
        <w:rPr>
          <w:rFonts w:eastAsiaTheme="minorEastAsia" w:cstheme="minorHAnsi"/>
        </w:rPr>
        <w:t>zugehörige</w:t>
      </w:r>
      <w:r w:rsidR="008F0C3B">
        <w:rPr>
          <w:rFonts w:eastAsiaTheme="minorEastAsia" w:cstheme="minorHAnsi"/>
        </w:rPr>
        <w:t>s</w:t>
      </w:r>
      <w:r w:rsidR="00836ED9">
        <w:rPr>
          <w:rFonts w:eastAsiaTheme="minorEastAsia" w:cstheme="minorHAnsi"/>
        </w:rPr>
        <w:t xml:space="preserve"> Quantil</w:t>
      </w:r>
      <w:r w:rsidR="00836ED9">
        <w:rPr>
          <w:rFonts w:eastAsiaTheme="minorEastAsia" w:cstheme="minorHAnsi"/>
        </w:rPr>
        <w:t xml:space="preserve"> </w:t>
      </w:r>
      <m:oMath>
        <m:sSub>
          <m:sSubPr>
            <m:ctrlPr>
              <w:rPr>
                <w:rFonts w:ascii="Cambria Math" w:hAnsi="Cambria Math"/>
                <w:b/>
                <w:i/>
              </w:rPr>
            </m:ctrlPr>
          </m:sSubPr>
          <m:e>
            <m:r>
              <m:rPr>
                <m:sty m:val="bi"/>
              </m:rPr>
              <w:rPr>
                <w:rFonts w:ascii="Cambria Math" w:hAnsi="Cambria Math"/>
              </w:rPr>
              <m:t>Z</m:t>
            </m:r>
          </m:e>
          <m:sub>
            <m:r>
              <m:rPr>
                <m:sty m:val="bi"/>
              </m:rPr>
              <w:rPr>
                <w:rFonts w:ascii="Cambria Math" w:hAnsi="Cambria Math"/>
              </w:rPr>
              <m:t>0,975</m:t>
            </m:r>
          </m:sub>
        </m:sSub>
      </m:oMath>
      <w:r w:rsidR="00836ED9" w:rsidRPr="008F0C3B">
        <w:rPr>
          <w:rFonts w:eastAsiaTheme="minorEastAsia" w:cstheme="minorHAnsi"/>
          <w:b/>
          <w:i/>
        </w:rPr>
        <w:t>= 1,96</w:t>
      </w:r>
      <w:r w:rsidR="00836ED9" w:rsidRPr="008F0C3B">
        <w:rPr>
          <w:rFonts w:eastAsiaTheme="minorEastAsia" w:cstheme="minorHAnsi"/>
          <w:b/>
          <w:i/>
        </w:rPr>
        <w:t>.</w:t>
      </w:r>
    </w:p>
    <w:p w:rsidR="00836ED9" w:rsidRDefault="00836ED9" w:rsidP="00F6774D">
      <w:r>
        <w:t>Der Schwellwert des Konfidenzintervalls wird berechnet als:</w:t>
      </w:r>
    </w:p>
    <w:p w:rsidR="00F6774D" w:rsidRDefault="00F6774D" w:rsidP="00F6774D">
      <m:oMathPara>
        <m:oMath>
          <m:f>
            <m:fPr>
              <m:ctrlPr>
                <w:rPr>
                  <w:rFonts w:ascii="Cambria Math" w:hAnsi="Cambria Math"/>
                  <w:i/>
                </w:rPr>
              </m:ctrlPr>
            </m:fPr>
            <m:num>
              <m:sSub>
                <m:sSubPr>
                  <m:ctrlPr>
                    <w:rPr>
                      <w:rFonts w:ascii="Cambria Math" w:hAnsi="Cambria Math"/>
                      <w:i/>
                    </w:rPr>
                  </m:ctrlPr>
                </m:sSubPr>
                <m:e>
                  <m:r>
                    <w:rPr>
                      <w:rFonts w:ascii="Cambria Math" w:hAnsi="Cambria Math"/>
                    </w:rPr>
                    <m:t>Z</m:t>
                  </m:r>
                </m:e>
                <m:sub>
                  <m:r>
                    <w:rPr>
                      <w:rFonts w:ascii="Cambria Math" w:hAnsi="Cambria Math"/>
                    </w:rPr>
                    <m:t>0,975</m:t>
                  </m:r>
                </m:sub>
              </m:sSub>
            </m:num>
            <m:den>
              <m:rad>
                <m:radPr>
                  <m:degHide m:val="1"/>
                  <m:ctrlPr>
                    <w:rPr>
                      <w:rFonts w:ascii="Cambria Math" w:hAnsi="Cambria Math"/>
                      <w:i/>
                    </w:rPr>
                  </m:ctrlPr>
                </m:radPr>
                <m:deg/>
                <m:e>
                  <m:r>
                    <w:rPr>
                      <w:rFonts w:ascii="Cambria Math" w:hAnsi="Cambria Math"/>
                    </w:rPr>
                    <m:t>N</m:t>
                  </m:r>
                </m:e>
              </m:rad>
            </m:den>
          </m:f>
          <m:r>
            <w:rPr>
              <w:rFonts w:ascii="Cambria Math" w:hAnsi="Cambria Math"/>
            </w:rPr>
            <m:t xml:space="preserve">= </m:t>
          </m:r>
          <m:f>
            <m:fPr>
              <m:ctrlPr>
                <w:rPr>
                  <w:rFonts w:ascii="Cambria Math" w:hAnsi="Cambria Math"/>
                  <w:i/>
                </w:rPr>
              </m:ctrlPr>
            </m:fPr>
            <m:num>
              <m:r>
                <w:rPr>
                  <w:rFonts w:ascii="Cambria Math" w:hAnsi="Cambria Math"/>
                </w:rPr>
                <m:t>1,96</m:t>
              </m:r>
            </m:num>
            <m:den>
              <m:rad>
                <m:radPr>
                  <m:degHide m:val="1"/>
                  <m:ctrlPr>
                    <w:rPr>
                      <w:rFonts w:ascii="Cambria Math" w:hAnsi="Cambria Math"/>
                      <w:i/>
                    </w:rPr>
                  </m:ctrlPr>
                </m:radPr>
                <m:deg/>
                <m:e>
                  <m:r>
                    <w:rPr>
                      <w:rFonts w:ascii="Cambria Math" w:hAnsi="Cambria Math"/>
                    </w:rPr>
                    <m:t>N</m:t>
                  </m:r>
                </m:e>
              </m:rad>
            </m:den>
          </m:f>
        </m:oMath>
      </m:oMathPara>
    </w:p>
    <w:p w:rsidR="006848F0" w:rsidRDefault="00836ED9" w:rsidP="00141533">
      <w:r>
        <w:t xml:space="preserve">Ist der ermittelte </w:t>
      </w:r>
      <w:r w:rsidRPr="008F0C3B">
        <w:rPr>
          <w:b/>
          <w:i/>
        </w:rPr>
        <w:t xml:space="preserve">Autokorrelationskoeffizient </w:t>
      </w:r>
      <w:r w:rsidRPr="008F0C3B">
        <w:rPr>
          <w:rFonts w:cstheme="minorHAnsi"/>
          <w:b/>
          <w:i/>
        </w:rPr>
        <w:t>≥</w:t>
      </w:r>
      <w:r w:rsidRPr="008F0C3B">
        <w:rPr>
          <w:b/>
          <w:i/>
        </w:rPr>
        <w:t xml:space="preserve"> Konfidenzschwellwert</w:t>
      </w:r>
      <w:r>
        <w:t xml:space="preserve"> wird Nullhypothese (kein statistischer Zusammenhang) verworfen. </w:t>
      </w:r>
      <w:r w:rsidRPr="008F0C3B">
        <w:rPr>
          <w:b/>
          <w:i/>
        </w:rPr>
        <w:t>Die festgestellte Autokorrelation gilt als</w:t>
      </w:r>
      <w:r w:rsidR="008F0C3B" w:rsidRPr="008F0C3B">
        <w:rPr>
          <w:b/>
          <w:i/>
        </w:rPr>
        <w:t>o als</w:t>
      </w:r>
      <w:r w:rsidRPr="008F0C3B">
        <w:rPr>
          <w:b/>
          <w:i/>
        </w:rPr>
        <w:t xml:space="preserve"> signifikant</w:t>
      </w:r>
      <w:r>
        <w:t>.</w:t>
      </w:r>
    </w:p>
    <w:p w:rsidR="008F0C3B" w:rsidRPr="008F0C3B" w:rsidRDefault="008F0C3B" w:rsidP="008F0C3B">
      <w:pPr>
        <w:rPr>
          <w:rFonts w:eastAsiaTheme="minorEastAsia" w:cstheme="minorHAnsi"/>
          <w:u w:val="single"/>
        </w:rPr>
      </w:pPr>
      <w:r w:rsidRPr="008F0C3B">
        <w:rPr>
          <w:rFonts w:eastAsiaTheme="minorEastAsia" w:cstheme="minorHAnsi"/>
          <w:u w:val="single"/>
        </w:rPr>
        <w:t>Beispiel:</w:t>
      </w:r>
    </w:p>
    <w:p w:rsidR="008F0C3B" w:rsidRDefault="008F0C3B" w:rsidP="008F0C3B">
      <w:pPr>
        <w:rPr>
          <w:rFonts w:eastAsiaTheme="minorEastAsia" w:cstheme="minorHAnsi"/>
        </w:rPr>
      </w:pPr>
      <w:r>
        <w:rPr>
          <w:rFonts w:eastAsiaTheme="minorEastAsia" w:cstheme="minorHAnsi"/>
        </w:rPr>
        <w:t>Für eine Verbrauchsreihe von 2 Jahren ergibt sich folgender Konfidenzschwellwert:</w:t>
      </w:r>
    </w:p>
    <w:p w:rsidR="008F0C3B" w:rsidRDefault="008F0C3B" w:rsidP="008F0C3B">
      <w:pPr>
        <w:pStyle w:val="Listenabsatz"/>
        <w:numPr>
          <w:ilvl w:val="0"/>
          <w:numId w:val="2"/>
        </w:numPr>
      </w:pPr>
      <w:r w:rsidRPr="008F0C3B">
        <w:rPr>
          <w:b/>
        </w:rPr>
        <w:t>Periodizität Monat</w:t>
      </w:r>
      <w:r>
        <w:t>: 2 Jahre = 24 Monate</w:t>
      </w:r>
    </w:p>
    <w:p w:rsidR="008F0C3B" w:rsidRDefault="008F0C3B" w:rsidP="008F0C3B">
      <w:pPr>
        <w:pStyle w:val="Listenabsatz"/>
        <w:ind w:left="1080"/>
      </w:pPr>
      <m:oMath>
        <m:r>
          <w:rPr>
            <w:rFonts w:ascii="Cambria Math" w:hAnsi="Cambria Math"/>
          </w:rPr>
          <m:t xml:space="preserve">= </m:t>
        </m:r>
        <m:f>
          <m:fPr>
            <m:ctrlPr>
              <w:rPr>
                <w:rFonts w:ascii="Cambria Math" w:hAnsi="Cambria Math"/>
                <w:i/>
              </w:rPr>
            </m:ctrlPr>
          </m:fPr>
          <m:num>
            <m:r>
              <w:rPr>
                <w:rFonts w:ascii="Cambria Math" w:hAnsi="Cambria Math"/>
              </w:rPr>
              <m:t>1,96</m:t>
            </m:r>
          </m:num>
          <m:den>
            <m:rad>
              <m:radPr>
                <m:degHide m:val="1"/>
                <m:ctrlPr>
                  <w:rPr>
                    <w:rFonts w:ascii="Cambria Math" w:hAnsi="Cambria Math"/>
                    <w:i/>
                  </w:rPr>
                </m:ctrlPr>
              </m:radPr>
              <m:deg/>
              <m:e>
                <m:r>
                  <w:rPr>
                    <w:rFonts w:ascii="Cambria Math" w:hAnsi="Cambria Math"/>
                  </w:rPr>
                  <m:t>24</m:t>
                </m:r>
              </m:e>
            </m:rad>
          </m:den>
        </m:f>
        <m:r>
          <w:rPr>
            <w:rFonts w:ascii="Cambria Math" w:hAnsi="Cambria Math"/>
          </w:rPr>
          <m:t xml:space="preserve">=0,4 </m:t>
        </m:r>
      </m:oMath>
      <w:r>
        <w:rPr>
          <w:rFonts w:eastAsiaTheme="minorEastAsia"/>
        </w:rPr>
        <w:t xml:space="preserve"> </w:t>
      </w:r>
    </w:p>
    <w:p w:rsidR="008F0C3B" w:rsidRDefault="008F0C3B" w:rsidP="008F0C3B">
      <w:pPr>
        <w:pStyle w:val="Listenabsatz"/>
        <w:numPr>
          <w:ilvl w:val="0"/>
          <w:numId w:val="2"/>
        </w:numPr>
      </w:pPr>
      <w:r w:rsidRPr="008F0C3B">
        <w:rPr>
          <w:b/>
        </w:rPr>
        <w:t>Periodizität Woche</w:t>
      </w:r>
      <w:r>
        <w:t>: 2 Jahre = 104 Wochen</w:t>
      </w:r>
    </w:p>
    <w:p w:rsidR="008F0C3B" w:rsidRPr="0081568E" w:rsidRDefault="008F0C3B" w:rsidP="008F0C3B">
      <w:pPr>
        <w:pStyle w:val="Listenabsatz"/>
        <w:ind w:left="1080"/>
        <w:rPr>
          <w:rFonts w:ascii="Cambria Math" w:hAnsi="Cambria Math"/>
          <w:i/>
        </w:rPr>
      </w:pPr>
      <m:oMathPara>
        <m:oMathParaPr>
          <m:jc m:val="left"/>
        </m:oMathParaPr>
        <m:oMath>
          <m:r>
            <w:rPr>
              <w:rFonts w:ascii="Cambria Math" w:hAnsi="Cambria Math"/>
            </w:rPr>
            <m:t>=</m:t>
          </m:r>
          <m:f>
            <m:fPr>
              <m:ctrlPr>
                <w:rPr>
                  <w:rFonts w:ascii="Cambria Math" w:hAnsi="Cambria Math"/>
                  <w:i/>
                </w:rPr>
              </m:ctrlPr>
            </m:fPr>
            <m:num>
              <m:r>
                <w:rPr>
                  <w:rFonts w:ascii="Cambria Math" w:hAnsi="Cambria Math"/>
                </w:rPr>
                <m:t>1,96</m:t>
              </m:r>
            </m:num>
            <m:den>
              <m:rad>
                <m:radPr>
                  <m:degHide m:val="1"/>
                  <m:ctrlPr>
                    <w:rPr>
                      <w:rFonts w:ascii="Cambria Math" w:hAnsi="Cambria Math"/>
                      <w:i/>
                    </w:rPr>
                  </m:ctrlPr>
                </m:radPr>
                <m:deg/>
                <m:e>
                  <m:r>
                    <w:rPr>
                      <w:rFonts w:ascii="Cambria Math" w:hAnsi="Cambria Math"/>
                    </w:rPr>
                    <m:t>104</m:t>
                  </m:r>
                </m:e>
              </m:rad>
            </m:den>
          </m:f>
          <m:r>
            <w:rPr>
              <w:rFonts w:ascii="Cambria Math" w:hAnsi="Cambria Math"/>
            </w:rPr>
            <m:t>=0,19</m:t>
          </m:r>
        </m:oMath>
      </m:oMathPara>
    </w:p>
    <w:p w:rsidR="0092188B" w:rsidRDefault="006848F0" w:rsidP="009B3F1E">
      <w:r>
        <w:t xml:space="preserve">Bei langen Verbrauchsreihen </w:t>
      </w:r>
      <w:r w:rsidR="008F0C3B">
        <w:t>sind also ggf.</w:t>
      </w:r>
      <w:r>
        <w:t xml:space="preserve"> auch kleine Autokorrelationskoeffizienten bereits signifikant. </w:t>
      </w:r>
      <w:r w:rsidR="008F0C3B">
        <w:t xml:space="preserve">Im Fall der Prognose auf Wochenebene </w:t>
      </w:r>
      <w:r w:rsidR="0092188B">
        <w:t xml:space="preserve">wird damit quasi auch die </w:t>
      </w:r>
      <w:r>
        <w:t xml:space="preserve">generell </w:t>
      </w:r>
      <w:r w:rsidR="0092188B">
        <w:t xml:space="preserve">höhere Varianz von Wochendaten berücksichtigt. </w:t>
      </w:r>
    </w:p>
    <w:p w:rsidR="003419B9" w:rsidRDefault="003419B9" w:rsidP="009B3F1E">
      <w:r>
        <w:lastRenderedPageBreak/>
        <w:t>Abhängig vom Ergebnis der Signifikanzprüfung kann das neue Trackingsignal „</w:t>
      </w:r>
      <w:r w:rsidRPr="0092188B">
        <w:rPr>
          <w:b/>
        </w:rPr>
        <w:t>Saisonindikator</w:t>
      </w:r>
      <w:r>
        <w:t>“ folgende Werte annehmen:</w:t>
      </w:r>
    </w:p>
    <w:p w:rsidR="003419B9" w:rsidRDefault="0092188B" w:rsidP="003419B9">
      <w:pPr>
        <w:pStyle w:val="Listenabsatz"/>
        <w:numPr>
          <w:ilvl w:val="0"/>
          <w:numId w:val="1"/>
        </w:numPr>
      </w:pPr>
      <w:r w:rsidRPr="0092188B">
        <w:rPr>
          <w:b/>
        </w:rPr>
        <w:t>0</w:t>
      </w:r>
      <w:r w:rsidR="003419B9" w:rsidRPr="0092188B">
        <w:rPr>
          <w:b/>
        </w:rPr>
        <w:t>:</w:t>
      </w:r>
      <w:r w:rsidR="003419B9">
        <w:t xml:space="preserve"> </w:t>
      </w:r>
      <w:r w:rsidR="003419B9">
        <w:t>Keine</w:t>
      </w:r>
      <w:r w:rsidR="003419B9">
        <w:t xml:space="preserve"> signifikante Autokorrelation für die angegebene</w:t>
      </w:r>
      <w:r w:rsidR="003419B9">
        <w:t xml:space="preserve"> Saisonlänge</w:t>
      </w:r>
    </w:p>
    <w:p w:rsidR="009B3F1E" w:rsidRDefault="009B3F1E" w:rsidP="009B3F1E">
      <w:pPr>
        <w:pStyle w:val="Listenabsatz"/>
        <w:numPr>
          <w:ilvl w:val="0"/>
          <w:numId w:val="1"/>
        </w:numPr>
      </w:pPr>
      <w:r w:rsidRPr="0092188B">
        <w:rPr>
          <w:b/>
        </w:rPr>
        <w:t>1:</w:t>
      </w:r>
      <w:r>
        <w:t xml:space="preserve"> </w:t>
      </w:r>
      <w:r w:rsidR="003419B9">
        <w:t>S</w:t>
      </w:r>
      <w:r>
        <w:t>ignifikante Autokorrelation für die angegebene Saisonlänge</w:t>
      </w:r>
      <w:r w:rsidR="003419B9">
        <w:t xml:space="preserve"> </w:t>
      </w:r>
    </w:p>
    <w:p w:rsidR="009B3F1E" w:rsidRDefault="009B3F1E" w:rsidP="009B3F1E">
      <w:pPr>
        <w:pStyle w:val="Listenabsatz"/>
        <w:numPr>
          <w:ilvl w:val="0"/>
          <w:numId w:val="1"/>
        </w:numPr>
      </w:pPr>
      <w:r w:rsidRPr="0092188B">
        <w:rPr>
          <w:b/>
        </w:rPr>
        <w:t>9:</w:t>
      </w:r>
      <w:r>
        <w:t xml:space="preserve"> Autokorrelation kann nicht ermittelt werden</w:t>
      </w:r>
      <w:r w:rsidR="003419B9">
        <w:t xml:space="preserve"> (z.B. aufgrund zu kurzer Zeitreihe).</w:t>
      </w:r>
    </w:p>
    <w:p w:rsidR="003419B9" w:rsidRDefault="003419B9" w:rsidP="003419B9">
      <w:r>
        <w:t xml:space="preserve">Ein Saisonindikator von 1 weist also auf das Vorliegen </w:t>
      </w:r>
      <w:r w:rsidR="0092188B">
        <w:t xml:space="preserve">einer hohen Korrelation zwischen den Perioden verschiedener Saisonzyklen </w:t>
      </w:r>
      <w:r>
        <w:t>hin.</w:t>
      </w:r>
    </w:p>
    <w:p w:rsidR="003419B9" w:rsidRDefault="003419B9" w:rsidP="003419B9"/>
    <w:p w:rsidR="003419B9" w:rsidRPr="0092188B" w:rsidRDefault="003419B9" w:rsidP="003419B9">
      <w:pPr>
        <w:rPr>
          <w:b/>
          <w:u w:val="single"/>
        </w:rPr>
      </w:pPr>
      <w:r w:rsidRPr="0092188B">
        <w:rPr>
          <w:b/>
          <w:u w:val="single"/>
        </w:rPr>
        <w:t>Anmerkungen:</w:t>
      </w:r>
    </w:p>
    <w:p w:rsidR="003419B9" w:rsidRDefault="003419B9" w:rsidP="003419B9">
      <w:pPr>
        <w:pStyle w:val="Listenabsatz"/>
        <w:numPr>
          <w:ilvl w:val="0"/>
          <w:numId w:val="1"/>
        </w:numPr>
      </w:pPr>
      <w:r w:rsidRPr="0092188B">
        <w:rPr>
          <w:b/>
          <w:i/>
        </w:rPr>
        <w:t>Sporadische Zeitreihen</w:t>
      </w:r>
      <w:r>
        <w:t xml:space="preserve"> können auch ohne saisonale Verbrauchsmuster eine hohe Autokorrelation aufweisen (mit steigende</w:t>
      </w:r>
      <w:r>
        <w:t>m Anteil</w:t>
      </w:r>
      <w:r>
        <w:t xml:space="preserve"> Nullverbrauchsperioden). Dies sollte bei der Nutzung des Saisonindikators als Trackingsignal berücksichtigt werden (z.B. saisonale Prognoseverfahren im Fall eines hohen Nullverbrauchsperiodenanteils ausschließen).</w:t>
      </w:r>
    </w:p>
    <w:p w:rsidR="003419B9" w:rsidRDefault="003419B9" w:rsidP="003419B9">
      <w:pPr>
        <w:pStyle w:val="Listenabsatz"/>
        <w:numPr>
          <w:ilvl w:val="0"/>
          <w:numId w:val="1"/>
        </w:numPr>
      </w:pPr>
      <w:r w:rsidRPr="0092188B">
        <w:rPr>
          <w:b/>
          <w:i/>
        </w:rPr>
        <w:t>Periodizität Woche</w:t>
      </w:r>
      <w:r>
        <w:t>:</w:t>
      </w:r>
      <w:r>
        <w:t xml:space="preserve"> Zur Identifikation</w:t>
      </w:r>
      <w:r>
        <w:t xml:space="preserve"> ein</w:t>
      </w:r>
      <w:r>
        <w:t>es</w:t>
      </w:r>
      <w:r>
        <w:t xml:space="preserve"> stabile</w:t>
      </w:r>
      <w:r>
        <w:t>n</w:t>
      </w:r>
      <w:r>
        <w:t xml:space="preserve"> Saisonmuster</w:t>
      </w:r>
      <w:r>
        <w:t xml:space="preserve">s </w:t>
      </w:r>
      <w:r>
        <w:t xml:space="preserve">(auch </w:t>
      </w:r>
      <w:r>
        <w:t>für die</w:t>
      </w:r>
      <w:r>
        <w:t xml:space="preserve"> </w:t>
      </w:r>
      <w:r>
        <w:t>s</w:t>
      </w:r>
      <w:r>
        <w:t xml:space="preserve">aisonalen Prognoseverfahren), sollte </w:t>
      </w:r>
      <w:r w:rsidR="0092188B">
        <w:t>generell mit</w:t>
      </w:r>
      <w:r>
        <w:t xml:space="preserve"> Jahr</w:t>
      </w:r>
      <w:r w:rsidR="0092188B">
        <w:t xml:space="preserve"> =</w:t>
      </w:r>
      <w:r>
        <w:t xml:space="preserve"> </w:t>
      </w:r>
      <w:r>
        <w:t xml:space="preserve">52 </w:t>
      </w:r>
      <w:r>
        <w:t>Kalenderw</w:t>
      </w:r>
      <w:r>
        <w:t xml:space="preserve">ochen </w:t>
      </w:r>
      <w:r>
        <w:t>gearbeitet werden (</w:t>
      </w:r>
      <w:r>
        <w:t>52/53 Wochen-Problematik</w:t>
      </w:r>
      <w:r>
        <w:t>).</w:t>
      </w:r>
    </w:p>
    <w:p w:rsidR="003419B9" w:rsidRDefault="003419B9" w:rsidP="003419B9">
      <w:pPr>
        <w:pStyle w:val="Listenabsatz"/>
        <w:numPr>
          <w:ilvl w:val="0"/>
          <w:numId w:val="1"/>
        </w:numPr>
      </w:pPr>
      <w:r>
        <w:t xml:space="preserve">Verbrauchsperioden </w:t>
      </w:r>
      <w:r>
        <w:t xml:space="preserve">mit einem kleinen Lag sind häufig mit einer </w:t>
      </w:r>
      <w:r>
        <w:t>hohen Autokorrelation verbunden (z.B. Beeinflusst eine Promotion mehrere aufeinanderfolgende Perioden).</w:t>
      </w:r>
      <w:r>
        <w:t xml:space="preserve"> Empfohlen wird daher eine Prüfung </w:t>
      </w:r>
      <w:r>
        <w:t xml:space="preserve">erst ab einem </w:t>
      </w:r>
      <w:bookmarkStart w:id="0" w:name="_GoBack"/>
      <w:r w:rsidRPr="0092188B">
        <w:rPr>
          <w:b/>
          <w:i/>
        </w:rPr>
        <w:t xml:space="preserve">Lag </w:t>
      </w:r>
      <w:r w:rsidRPr="0092188B">
        <w:rPr>
          <w:rFonts w:cstheme="minorHAnsi"/>
          <w:b/>
          <w:i/>
        </w:rPr>
        <w:t>≥</w:t>
      </w:r>
      <w:r w:rsidRPr="0092188B">
        <w:rPr>
          <w:b/>
          <w:i/>
        </w:rPr>
        <w:t xml:space="preserve"> 4</w:t>
      </w:r>
      <w:bookmarkEnd w:id="0"/>
      <w:r>
        <w:t>.</w:t>
      </w:r>
    </w:p>
    <w:p w:rsidR="003419B9" w:rsidRDefault="003419B9" w:rsidP="003419B9"/>
    <w:p w:rsidR="009B3F1E" w:rsidRDefault="009B3F1E" w:rsidP="008A1AF2"/>
    <w:sectPr w:rsidR="009B3F1E">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801042"/>
    <w:multiLevelType w:val="hybridMultilevel"/>
    <w:tmpl w:val="9AA433C6"/>
    <w:lvl w:ilvl="0" w:tplc="13EEFDFE">
      <w:start w:val="20"/>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4EE0355B"/>
    <w:multiLevelType w:val="hybridMultilevel"/>
    <w:tmpl w:val="1AEC3764"/>
    <w:lvl w:ilvl="0" w:tplc="EDD6E202">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5F0638F2"/>
    <w:multiLevelType w:val="hybridMultilevel"/>
    <w:tmpl w:val="D8FCE05C"/>
    <w:lvl w:ilvl="0" w:tplc="F0EC4566">
      <w:numFmt w:val="bullet"/>
      <w:lvlText w:val="-"/>
      <w:lvlJc w:val="left"/>
      <w:pPr>
        <w:ind w:left="1080" w:hanging="360"/>
      </w:pPr>
      <w:rPr>
        <w:rFonts w:ascii="Calibri" w:eastAsiaTheme="minorHAnsi" w:hAnsi="Calibri" w:cs="Calibri"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9"/>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1AF2"/>
    <w:rsid w:val="000548C4"/>
    <w:rsid w:val="00141533"/>
    <w:rsid w:val="003419B9"/>
    <w:rsid w:val="005A1206"/>
    <w:rsid w:val="0061349F"/>
    <w:rsid w:val="006848F0"/>
    <w:rsid w:val="00836ED9"/>
    <w:rsid w:val="008A1AF2"/>
    <w:rsid w:val="008F0C3B"/>
    <w:rsid w:val="0092188B"/>
    <w:rsid w:val="009B3F1E"/>
    <w:rsid w:val="00A15068"/>
    <w:rsid w:val="00AE05F1"/>
    <w:rsid w:val="00DA0DEA"/>
    <w:rsid w:val="00EA2D78"/>
    <w:rsid w:val="00F350F3"/>
    <w:rsid w:val="00F6774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E0DDF5"/>
  <w15:chartTrackingRefBased/>
  <w15:docId w15:val="{FADA35AD-E748-47D9-A54A-E8BF003567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9B3F1E"/>
    <w:pPr>
      <w:ind w:left="720"/>
      <w:contextualSpacing/>
    </w:pPr>
  </w:style>
  <w:style w:type="character" w:styleId="Platzhaltertext">
    <w:name w:val="Placeholder Text"/>
    <w:basedOn w:val="Absatz-Standardschriftart"/>
    <w:uiPriority w:val="99"/>
    <w:semiHidden/>
    <w:rsid w:val="003419B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963</Words>
  <Characters>6070</Characters>
  <Application>Microsoft Office Word</Application>
  <DocSecurity>0</DocSecurity>
  <Lines>50</Lines>
  <Paragraphs>14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7019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Martina, Klaas</dc:creator>
  <cp:keywords/>
  <dc:description/>
  <cp:lastModifiedBy>Martina, Klaas</cp:lastModifiedBy>
  <cp:revision>4</cp:revision>
  <dcterms:created xsi:type="dcterms:W3CDTF">2019-01-14T10:55:00Z</dcterms:created>
  <dcterms:modified xsi:type="dcterms:W3CDTF">2019-01-15T09:41:00Z</dcterms:modified>
</cp:coreProperties>
</file>