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1185" w:rsidRPr="00465763" w:rsidRDefault="00A70AA9" w:rsidP="008E0BA0">
      <w:pPr>
        <w:pStyle w:val="Titel"/>
        <w:rPr>
          <w:rFonts w:ascii="Century Gothic" w:hAnsi="Century Gothic"/>
          <w:sz w:val="32"/>
          <w:szCs w:val="32"/>
        </w:rPr>
      </w:pPr>
      <w:r w:rsidRPr="00465763">
        <w:rPr>
          <w:rFonts w:ascii="Century Gothic" w:hAnsi="Century Gothic"/>
          <w:sz w:val="32"/>
          <w:szCs w:val="32"/>
        </w:rPr>
        <w:t>BUG 8853</w:t>
      </w:r>
    </w:p>
    <w:p w:rsidR="008E0BA0" w:rsidRPr="00465763" w:rsidRDefault="008E0BA0" w:rsidP="008E0BA0">
      <w:pPr>
        <w:rPr>
          <w:rFonts w:ascii="Century Gothic" w:hAnsi="Century Gothic"/>
        </w:rPr>
      </w:pPr>
    </w:p>
    <w:sdt>
      <w:sdtPr>
        <w:rPr>
          <w:rFonts w:ascii="Century Gothic" w:hAnsi="Century Gothic"/>
        </w:rPr>
        <w:id w:val="-1816332922"/>
        <w:docPartObj>
          <w:docPartGallery w:val="Table of Contents"/>
          <w:docPartUnique/>
        </w:docPartObj>
      </w:sdtPr>
      <w:sdtEndPr>
        <w:rPr>
          <w:rFonts w:eastAsiaTheme="minorHAnsi" w:cstheme="minorBidi"/>
          <w:b/>
          <w:bCs/>
          <w:color w:val="auto"/>
          <w:sz w:val="22"/>
          <w:szCs w:val="22"/>
          <w:lang w:eastAsia="en-US"/>
        </w:rPr>
      </w:sdtEndPr>
      <w:sdtContent>
        <w:p w:rsidR="008E0BA0" w:rsidRPr="00465763" w:rsidRDefault="008E0BA0">
          <w:pPr>
            <w:pStyle w:val="Inhaltsverzeichnisberschrift"/>
            <w:rPr>
              <w:rFonts w:ascii="Century Gothic" w:hAnsi="Century Gothic"/>
            </w:rPr>
          </w:pPr>
          <w:r w:rsidRPr="00465763">
            <w:rPr>
              <w:rFonts w:ascii="Century Gothic" w:hAnsi="Century Gothic"/>
            </w:rPr>
            <w:t>Inhalt</w:t>
          </w:r>
        </w:p>
        <w:p w:rsidR="00081B52" w:rsidRDefault="008E0BA0">
          <w:pPr>
            <w:pStyle w:val="Verzeichnis1"/>
            <w:tabs>
              <w:tab w:val="right" w:leader="dot" w:pos="10456"/>
            </w:tabs>
            <w:rPr>
              <w:rFonts w:eastAsiaTheme="minorEastAsia"/>
              <w:noProof/>
              <w:lang w:eastAsia="de-DE"/>
            </w:rPr>
          </w:pPr>
          <w:r w:rsidRPr="00465763">
            <w:rPr>
              <w:rFonts w:ascii="Century Gothic" w:hAnsi="Century Gothic"/>
            </w:rPr>
            <w:fldChar w:fldCharType="begin"/>
          </w:r>
          <w:r w:rsidRPr="00465763">
            <w:rPr>
              <w:rFonts w:ascii="Century Gothic" w:hAnsi="Century Gothic"/>
            </w:rPr>
            <w:instrText xml:space="preserve"> TOC \o "1-3" \h \z \u </w:instrText>
          </w:r>
          <w:r w:rsidRPr="00465763">
            <w:rPr>
              <w:rFonts w:ascii="Century Gothic" w:hAnsi="Century Gothic"/>
            </w:rPr>
            <w:fldChar w:fldCharType="separate"/>
          </w:r>
          <w:hyperlink w:anchor="_Toc510888509" w:history="1">
            <w:r w:rsidR="00081B52" w:rsidRPr="002961DF">
              <w:rPr>
                <w:rStyle w:val="Hyperlink"/>
                <w:rFonts w:ascii="Century Gothic" w:hAnsi="Century Gothic"/>
                <w:noProof/>
              </w:rPr>
              <w:t>Auszug aus BUG</w:t>
            </w:r>
            <w:r w:rsidR="00081B52">
              <w:rPr>
                <w:noProof/>
                <w:webHidden/>
              </w:rPr>
              <w:tab/>
            </w:r>
            <w:r w:rsidR="00081B52">
              <w:rPr>
                <w:noProof/>
                <w:webHidden/>
              </w:rPr>
              <w:fldChar w:fldCharType="begin"/>
            </w:r>
            <w:r w:rsidR="00081B52">
              <w:rPr>
                <w:noProof/>
                <w:webHidden/>
              </w:rPr>
              <w:instrText xml:space="preserve"> PAGEREF _Toc510888509 \h </w:instrText>
            </w:r>
            <w:r w:rsidR="00081B52">
              <w:rPr>
                <w:noProof/>
                <w:webHidden/>
              </w:rPr>
            </w:r>
            <w:r w:rsidR="00081B52">
              <w:rPr>
                <w:noProof/>
                <w:webHidden/>
              </w:rPr>
              <w:fldChar w:fldCharType="separate"/>
            </w:r>
            <w:r w:rsidR="00081B52">
              <w:rPr>
                <w:noProof/>
                <w:webHidden/>
              </w:rPr>
              <w:t>2</w:t>
            </w:r>
            <w:r w:rsidR="00081B52">
              <w:rPr>
                <w:noProof/>
                <w:webHidden/>
              </w:rPr>
              <w:fldChar w:fldCharType="end"/>
            </w:r>
          </w:hyperlink>
        </w:p>
        <w:p w:rsidR="00081B52" w:rsidRDefault="00081B52">
          <w:pPr>
            <w:pStyle w:val="Verzeichnis1"/>
            <w:tabs>
              <w:tab w:val="right" w:leader="dot" w:pos="10456"/>
            </w:tabs>
            <w:rPr>
              <w:rFonts w:eastAsiaTheme="minorEastAsia"/>
              <w:noProof/>
              <w:lang w:eastAsia="de-DE"/>
            </w:rPr>
          </w:pPr>
          <w:hyperlink w:anchor="_Toc510888510" w:history="1">
            <w:r w:rsidRPr="002961DF">
              <w:rPr>
                <w:rStyle w:val="Hyperlink"/>
                <w:rFonts w:ascii="Century Gothic" w:hAnsi="Century Gothic"/>
                <w:noProof/>
              </w:rPr>
              <w:t>Analyse (CBR):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_Toc510888510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81B52" w:rsidRDefault="00081B52">
          <w:pPr>
            <w:pStyle w:val="Verzeichnis1"/>
            <w:tabs>
              <w:tab w:val="right" w:leader="dot" w:pos="10456"/>
            </w:tabs>
            <w:rPr>
              <w:rFonts w:eastAsiaTheme="minorEastAsia"/>
              <w:noProof/>
              <w:lang w:eastAsia="de-DE"/>
            </w:rPr>
          </w:pPr>
          <w:hyperlink w:anchor="_Toc510888511" w:history="1">
            <w:r w:rsidRPr="002961DF">
              <w:rPr>
                <w:rStyle w:val="Hyperlink"/>
                <w:rFonts w:ascii="Century Gothic" w:hAnsi="Century Gothic"/>
                <w:noProof/>
              </w:rPr>
              <w:t>Stichtag - OK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_Toc510888511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81B52" w:rsidRDefault="00081B52">
          <w:pPr>
            <w:pStyle w:val="Verzeichnis1"/>
            <w:tabs>
              <w:tab w:val="right" w:leader="dot" w:pos="10456"/>
            </w:tabs>
            <w:rPr>
              <w:rFonts w:eastAsiaTheme="minorEastAsia"/>
              <w:noProof/>
              <w:lang w:eastAsia="de-DE"/>
            </w:rPr>
          </w:pPr>
          <w:hyperlink w:anchor="_Toc510888512" w:history="1">
            <w:r w:rsidRPr="002961DF">
              <w:rPr>
                <w:rStyle w:val="Hyperlink"/>
                <w:rFonts w:ascii="Century Gothic" w:hAnsi="Century Gothic"/>
                <w:noProof/>
              </w:rPr>
              <w:t>Woche - nicht OK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_Toc510888512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81B52" w:rsidRDefault="00081B52">
          <w:pPr>
            <w:pStyle w:val="Verzeichnis2"/>
            <w:tabs>
              <w:tab w:val="right" w:leader="dot" w:pos="10456"/>
            </w:tabs>
            <w:rPr>
              <w:rFonts w:eastAsiaTheme="minorEastAsia"/>
              <w:noProof/>
              <w:lang w:eastAsia="de-DE"/>
            </w:rPr>
          </w:pPr>
          <w:hyperlink w:anchor="_Toc510888513" w:history="1">
            <w:r w:rsidRPr="002961DF">
              <w:rPr>
                <w:rStyle w:val="Hyperlink"/>
                <w:rFonts w:ascii="Century Gothic" w:hAnsi="Century Gothic"/>
                <w:noProof/>
              </w:rPr>
              <w:t>Analyse (CBR)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_Toc510888513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81B52" w:rsidRDefault="00081B52">
          <w:pPr>
            <w:pStyle w:val="Verzeichnis2"/>
            <w:tabs>
              <w:tab w:val="right" w:leader="dot" w:pos="10456"/>
            </w:tabs>
            <w:rPr>
              <w:rFonts w:eastAsiaTheme="minorEastAsia"/>
              <w:noProof/>
              <w:lang w:eastAsia="de-DE"/>
            </w:rPr>
          </w:pPr>
          <w:hyperlink w:anchor="_Toc510888514" w:history="1">
            <w:r w:rsidRPr="002961DF">
              <w:rPr>
                <w:rStyle w:val="Hyperlink"/>
                <w:rFonts w:ascii="Century Gothic" w:hAnsi="Century Gothic"/>
                <w:noProof/>
              </w:rPr>
              <w:t>Lösung: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_Toc510888514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81B52" w:rsidRDefault="00081B52">
          <w:pPr>
            <w:pStyle w:val="Verzeichnis2"/>
            <w:tabs>
              <w:tab w:val="right" w:leader="dot" w:pos="10456"/>
            </w:tabs>
            <w:rPr>
              <w:rFonts w:eastAsiaTheme="minorEastAsia"/>
              <w:noProof/>
              <w:lang w:eastAsia="de-DE"/>
            </w:rPr>
          </w:pPr>
          <w:hyperlink w:anchor="_Toc510888515" w:history="1">
            <w:r w:rsidRPr="002961DF">
              <w:rPr>
                <w:rStyle w:val="Hyperlink"/>
                <w:rFonts w:ascii="Century Gothic" w:hAnsi="Century Gothic"/>
                <w:noProof/>
              </w:rPr>
              <w:t>Anmerkung: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_Toc510888515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81B52" w:rsidRDefault="00081B52">
          <w:pPr>
            <w:pStyle w:val="Verzeichnis1"/>
            <w:tabs>
              <w:tab w:val="right" w:leader="dot" w:pos="10456"/>
            </w:tabs>
            <w:rPr>
              <w:rFonts w:eastAsiaTheme="minorEastAsia"/>
              <w:noProof/>
              <w:lang w:eastAsia="de-DE"/>
            </w:rPr>
          </w:pPr>
          <w:hyperlink w:anchor="_Toc510888516" w:history="1">
            <w:r w:rsidRPr="002961DF">
              <w:rPr>
                <w:rStyle w:val="Hyperlink"/>
                <w:rFonts w:ascii="Century Gothic" w:hAnsi="Century Gothic"/>
                <w:noProof/>
              </w:rPr>
              <w:t>Monat - nicht OK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_Toc510888516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81B52" w:rsidRDefault="00081B52">
          <w:pPr>
            <w:pStyle w:val="Verzeichnis2"/>
            <w:tabs>
              <w:tab w:val="right" w:leader="dot" w:pos="10456"/>
            </w:tabs>
            <w:rPr>
              <w:rFonts w:eastAsiaTheme="minorEastAsia"/>
              <w:noProof/>
              <w:lang w:eastAsia="de-DE"/>
            </w:rPr>
          </w:pPr>
          <w:hyperlink w:anchor="_Toc510888517" w:history="1">
            <w:r w:rsidRPr="002961DF">
              <w:rPr>
                <w:rStyle w:val="Hyperlink"/>
                <w:rFonts w:ascii="Century Gothic" w:hAnsi="Century Gothic"/>
                <w:noProof/>
              </w:rPr>
              <w:t>Analyse (CBR)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_Toc510888517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81B52" w:rsidRDefault="00081B52">
          <w:pPr>
            <w:pStyle w:val="Verzeichnis2"/>
            <w:tabs>
              <w:tab w:val="right" w:leader="dot" w:pos="10456"/>
            </w:tabs>
            <w:rPr>
              <w:rFonts w:eastAsiaTheme="minorEastAsia"/>
              <w:noProof/>
              <w:lang w:eastAsia="de-DE"/>
            </w:rPr>
          </w:pPr>
          <w:hyperlink w:anchor="_Toc510888518" w:history="1">
            <w:r w:rsidRPr="002961DF">
              <w:rPr>
                <w:rStyle w:val="Hyperlink"/>
                <w:rFonts w:ascii="Century Gothic" w:hAnsi="Century Gothic"/>
                <w:noProof/>
              </w:rPr>
              <w:t>Lösung: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_Toc510888518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81B52" w:rsidRDefault="00081B52">
          <w:pPr>
            <w:pStyle w:val="Verzeichnis2"/>
            <w:tabs>
              <w:tab w:val="right" w:leader="dot" w:pos="10456"/>
            </w:tabs>
            <w:rPr>
              <w:rFonts w:eastAsiaTheme="minorEastAsia"/>
              <w:noProof/>
              <w:lang w:eastAsia="de-DE"/>
            </w:rPr>
          </w:pPr>
          <w:hyperlink w:anchor="_Toc510888519" w:history="1">
            <w:r w:rsidRPr="002961DF">
              <w:rPr>
                <w:rStyle w:val="Hyperlink"/>
                <w:rFonts w:ascii="Century Gothic" w:hAnsi="Century Gothic"/>
                <w:noProof/>
              </w:rPr>
              <w:t>Anmerkung: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_Toc510888519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E0BA0" w:rsidRPr="00465763" w:rsidRDefault="008E0BA0">
          <w:pPr>
            <w:rPr>
              <w:rFonts w:ascii="Century Gothic" w:hAnsi="Century Gothic"/>
            </w:rPr>
          </w:pPr>
          <w:r w:rsidRPr="00465763">
            <w:rPr>
              <w:rFonts w:ascii="Century Gothic" w:hAnsi="Century Gothic"/>
              <w:b/>
              <w:bCs/>
            </w:rPr>
            <w:fldChar w:fldCharType="end"/>
          </w:r>
        </w:p>
      </w:sdtContent>
    </w:sdt>
    <w:p w:rsidR="008E0BA0" w:rsidRPr="00465763" w:rsidRDefault="008E0BA0" w:rsidP="008E0BA0">
      <w:pPr>
        <w:rPr>
          <w:rFonts w:ascii="Century Gothic" w:hAnsi="Century Gothic"/>
        </w:rPr>
      </w:pPr>
    </w:p>
    <w:p w:rsidR="00465763" w:rsidRDefault="00465763">
      <w:pPr>
        <w:rPr>
          <w:rFonts w:ascii="Century Gothic" w:eastAsiaTheme="majorEastAsia" w:hAnsi="Century Gothic" w:cstheme="majorBidi"/>
          <w:color w:val="2E74B5" w:themeColor="accent1" w:themeShade="BF"/>
          <w:sz w:val="32"/>
          <w:szCs w:val="32"/>
        </w:rPr>
      </w:pPr>
      <w:r>
        <w:rPr>
          <w:rFonts w:ascii="Century Gothic" w:hAnsi="Century Gothic"/>
        </w:rPr>
        <w:br w:type="page"/>
      </w:r>
    </w:p>
    <w:p w:rsidR="00B56E7F" w:rsidRPr="00465763" w:rsidRDefault="00B56E7F" w:rsidP="008E0BA0">
      <w:pPr>
        <w:pStyle w:val="berschrift1"/>
        <w:rPr>
          <w:rFonts w:ascii="Century Gothic" w:hAnsi="Century Gothic"/>
        </w:rPr>
      </w:pPr>
      <w:bookmarkStart w:id="0" w:name="_Toc510888509"/>
      <w:r w:rsidRPr="00465763">
        <w:rPr>
          <w:rFonts w:ascii="Century Gothic" w:hAnsi="Century Gothic"/>
        </w:rPr>
        <w:lastRenderedPageBreak/>
        <w:t>Auszug aus BUG</w:t>
      </w:r>
      <w:bookmarkEnd w:id="0"/>
    </w:p>
    <w:p w:rsidR="00B56E7F" w:rsidRPr="00465763" w:rsidRDefault="00B56E7F" w:rsidP="00B56E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rPr>
          <w:rFonts w:ascii="Century Gothic" w:hAnsi="Century Gothic"/>
          <w:sz w:val="16"/>
          <w:szCs w:val="16"/>
        </w:rPr>
      </w:pPr>
      <w:r w:rsidRPr="00465763">
        <w:rPr>
          <w:rFonts w:ascii="Century Gothic" w:hAnsi="Century Gothic"/>
          <w:sz w:val="16"/>
          <w:szCs w:val="16"/>
        </w:rPr>
        <w:t>/GIB/DCC_POT</w:t>
      </w:r>
      <w:r w:rsidRPr="00465763">
        <w:rPr>
          <w:rFonts w:ascii="Century Gothic" w:hAnsi="Century Gothic"/>
          <w:sz w:val="16"/>
          <w:szCs w:val="16"/>
        </w:rPr>
        <w:br/>
      </w:r>
      <w:r w:rsidRPr="00465763">
        <w:rPr>
          <w:rFonts w:ascii="Century Gothic" w:hAnsi="Century Gothic"/>
          <w:sz w:val="16"/>
          <w:szCs w:val="16"/>
        </w:rPr>
        <w:t>Werk:</w:t>
      </w:r>
      <w:r w:rsidRPr="00465763">
        <w:rPr>
          <w:rFonts w:ascii="Century Gothic" w:hAnsi="Century Gothic"/>
          <w:sz w:val="16"/>
          <w:szCs w:val="16"/>
        </w:rPr>
        <w:tab/>
      </w:r>
      <w:r w:rsidRPr="00465763">
        <w:rPr>
          <w:rFonts w:ascii="Century Gothic" w:hAnsi="Century Gothic"/>
          <w:sz w:val="16"/>
          <w:szCs w:val="16"/>
        </w:rPr>
        <w:tab/>
      </w:r>
      <w:r w:rsidRPr="00465763">
        <w:rPr>
          <w:rFonts w:ascii="Century Gothic" w:hAnsi="Century Gothic"/>
          <w:sz w:val="16"/>
          <w:szCs w:val="16"/>
        </w:rPr>
        <w:tab/>
        <w:t>1010</w:t>
      </w:r>
      <w:r w:rsidRPr="00465763">
        <w:rPr>
          <w:rFonts w:ascii="Century Gothic" w:hAnsi="Century Gothic"/>
          <w:sz w:val="16"/>
          <w:szCs w:val="16"/>
        </w:rPr>
        <w:br/>
      </w:r>
      <w:r w:rsidRPr="00465763">
        <w:rPr>
          <w:rFonts w:ascii="Century Gothic" w:hAnsi="Century Gothic"/>
          <w:sz w:val="16"/>
          <w:szCs w:val="16"/>
        </w:rPr>
        <w:t>Controlling-Bereich:</w:t>
      </w:r>
      <w:r w:rsidRPr="00465763">
        <w:rPr>
          <w:rFonts w:ascii="Century Gothic" w:hAnsi="Century Gothic"/>
          <w:sz w:val="16"/>
          <w:szCs w:val="16"/>
        </w:rPr>
        <w:tab/>
        <w:t>*</w:t>
      </w:r>
      <w:r w:rsidRPr="00465763">
        <w:rPr>
          <w:rFonts w:ascii="Century Gothic" w:hAnsi="Century Gothic"/>
          <w:sz w:val="16"/>
          <w:szCs w:val="16"/>
        </w:rPr>
        <w:br/>
      </w:r>
      <w:r w:rsidRPr="00465763">
        <w:rPr>
          <w:rFonts w:ascii="Century Gothic" w:hAnsi="Century Gothic"/>
          <w:sz w:val="16"/>
          <w:szCs w:val="16"/>
        </w:rPr>
        <w:t>Aggregation:</w:t>
      </w:r>
      <w:r w:rsidRPr="00465763">
        <w:rPr>
          <w:rFonts w:ascii="Century Gothic" w:hAnsi="Century Gothic"/>
          <w:sz w:val="16"/>
          <w:szCs w:val="16"/>
        </w:rPr>
        <w:tab/>
      </w:r>
      <w:r w:rsidRPr="00465763">
        <w:rPr>
          <w:rFonts w:ascii="Century Gothic" w:hAnsi="Century Gothic"/>
          <w:sz w:val="16"/>
          <w:szCs w:val="16"/>
        </w:rPr>
        <w:tab/>
        <w:t>Controlling-Bereich</w:t>
      </w:r>
      <w:r w:rsidRPr="00465763">
        <w:rPr>
          <w:rFonts w:ascii="Century Gothic" w:hAnsi="Century Gothic"/>
          <w:sz w:val="16"/>
          <w:szCs w:val="16"/>
        </w:rPr>
        <w:br/>
      </w:r>
      <w:r w:rsidRPr="00465763">
        <w:rPr>
          <w:rFonts w:ascii="Century Gothic" w:hAnsi="Century Gothic"/>
          <w:sz w:val="16"/>
          <w:szCs w:val="16"/>
        </w:rPr>
        <w:t>In den Wochenkennzahlen kommt folgendes, korrektes Ergebnis:</w:t>
      </w:r>
      <w:r w:rsidRPr="00465763">
        <w:rPr>
          <w:rFonts w:ascii="Century Gothic" w:hAnsi="Century Gothic"/>
          <w:noProof/>
          <w:sz w:val="16"/>
          <w:szCs w:val="16"/>
          <w:lang w:eastAsia="de-DE"/>
        </w:rPr>
        <w:drawing>
          <wp:inline distT="0" distB="0" distL="0" distR="0" wp14:anchorId="62F63931" wp14:editId="1AFD0271">
            <wp:extent cx="2872740" cy="862266"/>
            <wp:effectExtent l="0" t="0" r="381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964980" cy="889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65763" w:rsidRPr="00465763">
        <w:rPr>
          <w:rFonts w:ascii="Century Gothic" w:hAnsi="Century Gothic"/>
          <w:sz w:val="16"/>
          <w:szCs w:val="16"/>
        </w:rPr>
        <w:br/>
      </w:r>
      <w:r w:rsidRPr="00465763">
        <w:rPr>
          <w:rFonts w:ascii="Century Gothic" w:hAnsi="Century Gothic"/>
          <w:sz w:val="16"/>
          <w:szCs w:val="16"/>
        </w:rPr>
        <w:t>Im Monat passiert das:</w:t>
      </w:r>
      <w:r w:rsidRPr="00465763">
        <w:rPr>
          <w:rFonts w:ascii="Century Gothic" w:hAnsi="Century Gothic"/>
          <w:noProof/>
          <w:sz w:val="16"/>
          <w:szCs w:val="16"/>
          <w:lang w:eastAsia="de-DE"/>
        </w:rPr>
        <w:drawing>
          <wp:inline distT="0" distB="0" distL="0" distR="0" wp14:anchorId="77536344" wp14:editId="55142D13">
            <wp:extent cx="2933700" cy="713699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93960" cy="752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65763" w:rsidRPr="00465763">
        <w:rPr>
          <w:rFonts w:ascii="Century Gothic" w:hAnsi="Century Gothic"/>
          <w:noProof/>
        </w:rPr>
        <w:t xml:space="preserve"> </w:t>
      </w:r>
      <w:r w:rsidR="00465763" w:rsidRPr="00465763">
        <w:rPr>
          <w:rFonts w:ascii="Century Gothic" w:hAnsi="Century Gothic"/>
          <w:noProof/>
        </w:rPr>
        <w:br/>
      </w:r>
      <w:r w:rsidR="00465763" w:rsidRPr="00465763">
        <w:rPr>
          <w:rFonts w:ascii="Century Gothic" w:hAnsi="Century Gothic"/>
          <w:noProof/>
        </w:rPr>
        <w:drawing>
          <wp:inline distT="0" distB="0" distL="0" distR="0" wp14:anchorId="61F7027F" wp14:editId="76BFD5AE">
            <wp:extent cx="2118360" cy="396240"/>
            <wp:effectExtent l="0" t="0" r="0" b="381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118558" cy="3962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65763" w:rsidRPr="00465763">
        <w:rPr>
          <w:rFonts w:ascii="Century Gothic" w:hAnsi="Century Gothic"/>
          <w:noProof/>
        </w:rPr>
        <w:br/>
      </w:r>
      <w:r w:rsidRPr="00465763">
        <w:rPr>
          <w:rFonts w:ascii="Century Gothic" w:hAnsi="Century Gothic"/>
          <w:sz w:val="16"/>
          <w:szCs w:val="16"/>
        </w:rPr>
        <w:t>Die Administration sieht wie folgt aus:</w:t>
      </w:r>
      <w:r w:rsidRPr="00465763">
        <w:rPr>
          <w:rFonts w:ascii="Century Gothic" w:hAnsi="Century Gothic"/>
          <w:noProof/>
          <w:sz w:val="16"/>
          <w:szCs w:val="16"/>
          <w:lang w:eastAsia="de-DE"/>
        </w:rPr>
        <w:drawing>
          <wp:inline distT="0" distB="0" distL="0" distR="0" wp14:anchorId="02121809" wp14:editId="0B30B47D">
            <wp:extent cx="2743200" cy="1870495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782391" cy="18972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65763">
        <w:rPr>
          <w:rFonts w:ascii="Century Gothic" w:hAnsi="Century Gothic"/>
          <w:sz w:val="16"/>
          <w:szCs w:val="16"/>
        </w:rPr>
        <w:br/>
      </w:r>
      <w:r w:rsidRPr="00465763">
        <w:rPr>
          <w:rFonts w:ascii="Century Gothic" w:hAnsi="Century Gothic"/>
          <w:sz w:val="16"/>
          <w:szCs w:val="16"/>
        </w:rPr>
        <w:t>Im Stichtag und in der Woche kommen in den Controlling-Bereichen mMn die richtigen Werte, im Monat nicht.</w:t>
      </w:r>
      <w:r w:rsidRPr="00465763">
        <w:rPr>
          <w:rFonts w:ascii="Century Gothic" w:hAnsi="Century Gothic"/>
          <w:sz w:val="16"/>
          <w:szCs w:val="16"/>
        </w:rPr>
        <w:br/>
      </w:r>
      <w:r w:rsidRPr="00465763">
        <w:rPr>
          <w:rFonts w:ascii="Century Gothic" w:hAnsi="Century Gothic"/>
          <w:b/>
          <w:sz w:val="16"/>
          <w:szCs w:val="16"/>
        </w:rPr>
        <w:t>Erste Lösung gefunden</w:t>
      </w:r>
      <w:r w:rsidRPr="00465763">
        <w:rPr>
          <w:rFonts w:ascii="Century Gothic" w:hAnsi="Century Gothic"/>
          <w:b/>
          <w:sz w:val="16"/>
          <w:szCs w:val="16"/>
        </w:rPr>
        <w:br/>
      </w:r>
      <w:r w:rsidRPr="00465763">
        <w:rPr>
          <w:rFonts w:ascii="Century Gothic" w:hAnsi="Century Gothic"/>
          <w:sz w:val="16"/>
          <w:szCs w:val="16"/>
        </w:rPr>
        <w:t>Ich hatte Änderungen am CB nach dem initialen Aufbau vorgenommen. Diese Änderungen wurden durch den Delta-Aufbau im Monat nicht übernommen. Stichtag und Woche haben allerdings darauf reagiert (diese wurden ebenfalls von Anfang an mit aufgebaut).</w:t>
      </w:r>
      <w:r w:rsidRPr="00465763">
        <w:rPr>
          <w:rFonts w:ascii="Century Gothic" w:hAnsi="Century Gothic"/>
          <w:sz w:val="16"/>
          <w:szCs w:val="16"/>
        </w:rPr>
        <w:br/>
      </w:r>
      <w:r w:rsidRPr="00465763">
        <w:rPr>
          <w:rFonts w:ascii="Century Gothic" w:hAnsi="Century Gothic"/>
          <w:sz w:val="16"/>
          <w:szCs w:val="16"/>
        </w:rPr>
        <w:t xml:space="preserve">Nach einem </w:t>
      </w:r>
      <w:proofErr w:type="spellStart"/>
      <w:r w:rsidRPr="00465763">
        <w:rPr>
          <w:rFonts w:ascii="Century Gothic" w:hAnsi="Century Gothic"/>
          <w:sz w:val="16"/>
          <w:szCs w:val="16"/>
        </w:rPr>
        <w:t>CleanUp</w:t>
      </w:r>
      <w:proofErr w:type="spellEnd"/>
      <w:r w:rsidRPr="00465763">
        <w:rPr>
          <w:rFonts w:ascii="Century Gothic" w:hAnsi="Century Gothic"/>
          <w:sz w:val="16"/>
          <w:szCs w:val="16"/>
        </w:rPr>
        <w:t xml:space="preserve"> werden die Daten korrekt angezeigt.</w:t>
      </w:r>
    </w:p>
    <w:p w:rsidR="008E0BA0" w:rsidRPr="00465763" w:rsidRDefault="008E0BA0">
      <w:pPr>
        <w:rPr>
          <w:rFonts w:ascii="Century Gothic" w:eastAsiaTheme="majorEastAsia" w:hAnsi="Century Gothic" w:cstheme="majorBidi"/>
          <w:color w:val="2E74B5" w:themeColor="accent1" w:themeShade="BF"/>
          <w:sz w:val="32"/>
          <w:szCs w:val="32"/>
        </w:rPr>
      </w:pPr>
      <w:r w:rsidRPr="00465763">
        <w:rPr>
          <w:rFonts w:ascii="Century Gothic" w:hAnsi="Century Gothic"/>
        </w:rPr>
        <w:br w:type="page"/>
      </w:r>
    </w:p>
    <w:p w:rsidR="00B56E7F" w:rsidRPr="00465763" w:rsidRDefault="008E0BA0" w:rsidP="008E0BA0">
      <w:pPr>
        <w:pStyle w:val="berschrift1"/>
        <w:rPr>
          <w:rFonts w:ascii="Century Gothic" w:hAnsi="Century Gothic"/>
        </w:rPr>
      </w:pPr>
      <w:bookmarkStart w:id="1" w:name="_Toc510888510"/>
      <w:r w:rsidRPr="00465763">
        <w:rPr>
          <w:rFonts w:ascii="Century Gothic" w:hAnsi="Century Gothic"/>
        </w:rPr>
        <w:lastRenderedPageBreak/>
        <w:t>Analyse (CBR):</w:t>
      </w:r>
      <w:bookmarkEnd w:id="1"/>
    </w:p>
    <w:p w:rsidR="00A70AA9" w:rsidRPr="00465763" w:rsidRDefault="00B56E7F">
      <w:pPr>
        <w:rPr>
          <w:rFonts w:ascii="Century Gothic" w:hAnsi="Century Gothic"/>
        </w:rPr>
      </w:pPr>
      <w:r w:rsidRPr="00465763">
        <w:rPr>
          <w:rFonts w:ascii="Century Gothic" w:hAnsi="Century Gothic"/>
        </w:rPr>
        <w:t xml:space="preserve">Nach Anpassung der Controlling-Bereiche funktioniert ausschließlich der Stichtag, bei Woche </w:t>
      </w:r>
      <w:r w:rsidRPr="00465763">
        <w:rPr>
          <w:rFonts w:ascii="Century Gothic" w:hAnsi="Century Gothic"/>
          <w:b/>
        </w:rPr>
        <w:t xml:space="preserve">und </w:t>
      </w:r>
      <w:r w:rsidRPr="00465763">
        <w:rPr>
          <w:rFonts w:ascii="Century Gothic" w:hAnsi="Century Gothic"/>
        </w:rPr>
        <w:t>Monat werden die Änderungen augenscheinlich nicht wirksam.</w:t>
      </w:r>
    </w:p>
    <w:p w:rsidR="00A70AA9" w:rsidRPr="00465763" w:rsidRDefault="00B56E7F">
      <w:pPr>
        <w:rPr>
          <w:rFonts w:ascii="Century Gothic" w:hAnsi="Century Gothic"/>
          <w:b/>
          <w:color w:val="44546A" w:themeColor="text2"/>
        </w:rPr>
      </w:pPr>
      <w:r w:rsidRPr="00465763">
        <w:rPr>
          <w:rFonts w:ascii="Century Gothic" w:hAnsi="Century Gothic"/>
          <w:b/>
          <w:color w:val="44546A" w:themeColor="text2"/>
        </w:rPr>
        <w:t xml:space="preserve">!!!!! </w:t>
      </w:r>
      <w:r w:rsidR="00A70AA9" w:rsidRPr="00465763">
        <w:rPr>
          <w:rFonts w:ascii="Century Gothic" w:hAnsi="Century Gothic"/>
          <w:b/>
          <w:color w:val="44546A" w:themeColor="text2"/>
        </w:rPr>
        <w:t>Bitte in den Screen</w:t>
      </w:r>
      <w:r w:rsidR="008E0BA0" w:rsidRPr="00465763">
        <w:rPr>
          <w:rFonts w:ascii="Century Gothic" w:hAnsi="Century Gothic"/>
          <w:b/>
          <w:color w:val="44546A" w:themeColor="text2"/>
        </w:rPr>
        <w:t>-S</w:t>
      </w:r>
      <w:r w:rsidR="00A70AA9" w:rsidRPr="00465763">
        <w:rPr>
          <w:rFonts w:ascii="Century Gothic" w:hAnsi="Century Gothic"/>
          <w:b/>
          <w:color w:val="44546A" w:themeColor="text2"/>
        </w:rPr>
        <w:t>hots nicht die Überschrift abschneiden</w:t>
      </w:r>
    </w:p>
    <w:p w:rsidR="00A70AA9" w:rsidRPr="00465763" w:rsidRDefault="00B56E7F">
      <w:pPr>
        <w:rPr>
          <w:rFonts w:ascii="Century Gothic" w:hAnsi="Century Gothic"/>
          <w:b/>
          <w:color w:val="44546A" w:themeColor="text2"/>
        </w:rPr>
      </w:pPr>
      <w:r w:rsidRPr="00465763">
        <w:rPr>
          <w:rFonts w:ascii="Century Gothic" w:hAnsi="Century Gothic"/>
          <w:b/>
          <w:color w:val="44546A" w:themeColor="text2"/>
        </w:rPr>
        <w:t xml:space="preserve">!!!!! </w:t>
      </w:r>
      <w:r w:rsidR="00A70AA9" w:rsidRPr="00465763">
        <w:rPr>
          <w:rFonts w:ascii="Century Gothic" w:hAnsi="Century Gothic"/>
          <w:b/>
          <w:color w:val="44546A" w:themeColor="text2"/>
        </w:rPr>
        <w:t>Speziell, wenn es im BUG um Zeiträume geht, ist das kontraproduktiv.</w:t>
      </w:r>
    </w:p>
    <w:p w:rsidR="00A70AA9" w:rsidRPr="00465763" w:rsidRDefault="00D20290" w:rsidP="008E0BA0">
      <w:pPr>
        <w:pStyle w:val="berschrift1"/>
        <w:rPr>
          <w:rFonts w:ascii="Century Gothic" w:hAnsi="Century Gothic"/>
        </w:rPr>
      </w:pPr>
      <w:bookmarkStart w:id="2" w:name="_Toc510888511"/>
      <w:r w:rsidRPr="00465763">
        <w:rPr>
          <w:rFonts w:ascii="Century Gothic" w:hAnsi="Century Gothic"/>
        </w:rPr>
        <w:t>Stichtag - OK</w:t>
      </w:r>
      <w:bookmarkEnd w:id="2"/>
    </w:p>
    <w:p w:rsidR="00B56E7F" w:rsidRPr="00465763" w:rsidRDefault="00B56E7F">
      <w:pPr>
        <w:rPr>
          <w:rFonts w:ascii="Century Gothic" w:hAnsi="Century Gothic"/>
        </w:rPr>
      </w:pPr>
      <w:r w:rsidRPr="00465763">
        <w:rPr>
          <w:rFonts w:ascii="Century Gothic" w:hAnsi="Century Gothic"/>
          <w:noProof/>
        </w:rPr>
        <w:drawing>
          <wp:inline distT="0" distB="0" distL="0" distR="0" wp14:anchorId="35A2E69E" wp14:editId="2A7BDA0D">
            <wp:extent cx="5760720" cy="149352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93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6E7F" w:rsidRPr="00465763" w:rsidRDefault="00B56E7F" w:rsidP="008E0BA0">
      <w:pPr>
        <w:pStyle w:val="berschrift1"/>
        <w:rPr>
          <w:rFonts w:ascii="Century Gothic" w:hAnsi="Century Gothic"/>
        </w:rPr>
      </w:pPr>
      <w:bookmarkStart w:id="3" w:name="_Toc510888512"/>
      <w:r w:rsidRPr="00465763">
        <w:rPr>
          <w:rFonts w:ascii="Century Gothic" w:hAnsi="Century Gothic"/>
        </w:rPr>
        <w:t>Woche</w:t>
      </w:r>
      <w:r w:rsidR="008E0BA0" w:rsidRPr="00465763">
        <w:rPr>
          <w:rFonts w:ascii="Century Gothic" w:hAnsi="Century Gothic"/>
        </w:rPr>
        <w:t xml:space="preserve"> - nicht OK</w:t>
      </w:r>
      <w:bookmarkEnd w:id="3"/>
    </w:p>
    <w:p w:rsidR="00465763" w:rsidRPr="00465763" w:rsidRDefault="00465763" w:rsidP="00465763">
      <w:pPr>
        <w:pStyle w:val="berschrift2"/>
        <w:rPr>
          <w:rFonts w:ascii="Century Gothic" w:hAnsi="Century Gothic"/>
        </w:rPr>
      </w:pPr>
      <w:bookmarkStart w:id="4" w:name="_Toc510888513"/>
      <w:r w:rsidRPr="00465763">
        <w:rPr>
          <w:rFonts w:ascii="Century Gothic" w:hAnsi="Century Gothic"/>
        </w:rPr>
        <w:t>Analyse (CBR)</w:t>
      </w:r>
      <w:bookmarkEnd w:id="4"/>
    </w:p>
    <w:p w:rsidR="00B56E7F" w:rsidRPr="00465763" w:rsidRDefault="008E0BA0">
      <w:pPr>
        <w:rPr>
          <w:rFonts w:ascii="Century Gothic" w:hAnsi="Century Gothic"/>
        </w:rPr>
      </w:pPr>
      <w:r w:rsidRPr="00465763">
        <w:rPr>
          <w:rFonts w:ascii="Century Gothic" w:hAnsi="Century Gothic"/>
        </w:rPr>
        <w:t>Die alten Zuordnungen bleiben fälschlicherweise erhalten. --&gt; Laufnummer 0000000873</w:t>
      </w:r>
      <w:r w:rsidRPr="00465763">
        <w:rPr>
          <w:rFonts w:ascii="Century Gothic" w:hAnsi="Century Gothic"/>
        </w:rPr>
        <w:br/>
        <w:t xml:space="preserve">Die neuen Zuordnungen sind OK. </w:t>
      </w:r>
      <w:r w:rsidRPr="00465763">
        <w:rPr>
          <w:rFonts w:ascii="Century Gothic" w:hAnsi="Century Gothic"/>
        </w:rPr>
        <w:t>--&gt; Laufnummer 000000087</w:t>
      </w:r>
      <w:r w:rsidRPr="00465763">
        <w:rPr>
          <w:rFonts w:ascii="Century Gothic" w:hAnsi="Century Gothic"/>
        </w:rPr>
        <w:t>9</w:t>
      </w:r>
      <w:r w:rsidR="00B56E7F" w:rsidRPr="00465763">
        <w:rPr>
          <w:rFonts w:ascii="Century Gothic" w:hAnsi="Century Gothic"/>
        </w:rPr>
        <w:t xml:space="preserve"> </w:t>
      </w:r>
      <w:r w:rsidR="00B56E7F" w:rsidRPr="00465763">
        <w:rPr>
          <w:rFonts w:ascii="Century Gothic" w:hAnsi="Century Gothic"/>
          <w:noProof/>
        </w:rPr>
        <w:drawing>
          <wp:inline distT="0" distB="0" distL="0" distR="0" wp14:anchorId="1DE20671" wp14:editId="57D4D395">
            <wp:extent cx="5760720" cy="2943225"/>
            <wp:effectExtent l="0" t="0" r="0" b="952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43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6E7F" w:rsidRPr="00081B52" w:rsidRDefault="00B56E7F">
      <w:pPr>
        <w:rPr>
          <w:rFonts w:ascii="Century Gothic" w:hAnsi="Century Gothic"/>
          <w:sz w:val="20"/>
          <w:szCs w:val="20"/>
        </w:rPr>
      </w:pPr>
      <w:r w:rsidRPr="00081B52">
        <w:rPr>
          <w:rFonts w:ascii="Century Gothic" w:hAnsi="Century Gothic"/>
          <w:sz w:val="20"/>
          <w:szCs w:val="20"/>
        </w:rPr>
        <w:t>Wenn die Änderung des Controlling-Bereichs zu einem kleineren Material-</w:t>
      </w:r>
      <w:proofErr w:type="spellStart"/>
      <w:r w:rsidRPr="00081B52">
        <w:rPr>
          <w:rFonts w:ascii="Century Gothic" w:hAnsi="Century Gothic"/>
          <w:sz w:val="20"/>
          <w:szCs w:val="20"/>
        </w:rPr>
        <w:t>Scope</w:t>
      </w:r>
      <w:proofErr w:type="spellEnd"/>
      <w:r w:rsidRPr="00081B52">
        <w:rPr>
          <w:rFonts w:ascii="Century Gothic" w:hAnsi="Century Gothic"/>
          <w:sz w:val="20"/>
          <w:szCs w:val="20"/>
        </w:rPr>
        <w:t xml:space="preserve"> führt, bleiben die "alten" Zuordnungen erhalten, da auch bei einem Initial-Lauf die "alte" Datenwelt nicht komplett gelöscht wird.</w:t>
      </w:r>
    </w:p>
    <w:p w:rsidR="008E0BA0" w:rsidRPr="00465763" w:rsidRDefault="00465763" w:rsidP="00465763">
      <w:pPr>
        <w:pStyle w:val="berschrift2"/>
        <w:rPr>
          <w:rFonts w:ascii="Century Gothic" w:hAnsi="Century Gothic"/>
        </w:rPr>
      </w:pPr>
      <w:bookmarkStart w:id="5" w:name="_Toc510888514"/>
      <w:r w:rsidRPr="00465763">
        <w:rPr>
          <w:rFonts w:ascii="Century Gothic" w:hAnsi="Century Gothic"/>
        </w:rPr>
        <w:t>Lösung:</w:t>
      </w:r>
      <w:bookmarkEnd w:id="5"/>
    </w:p>
    <w:p w:rsidR="00465763" w:rsidRPr="00081B52" w:rsidRDefault="00465763">
      <w:pPr>
        <w:rPr>
          <w:rFonts w:ascii="Century Gothic" w:hAnsi="Century Gothic"/>
          <w:sz w:val="20"/>
          <w:szCs w:val="20"/>
        </w:rPr>
      </w:pPr>
      <w:r w:rsidRPr="00081B52">
        <w:rPr>
          <w:rFonts w:ascii="Century Gothic" w:hAnsi="Century Gothic"/>
          <w:sz w:val="20"/>
          <w:szCs w:val="20"/>
        </w:rPr>
        <w:t>nach Änderung des Controlling-Bereichs muss ein vorheriger CLEANUP auf die CB-Wochen-Kennzahlen durchgeführt werden.</w:t>
      </w:r>
    </w:p>
    <w:p w:rsidR="00465763" w:rsidRPr="00081B52" w:rsidRDefault="00465763">
      <w:pPr>
        <w:rPr>
          <w:rFonts w:ascii="Century Gothic" w:hAnsi="Century Gothic"/>
          <w:sz w:val="20"/>
          <w:szCs w:val="20"/>
        </w:rPr>
      </w:pPr>
      <w:r w:rsidRPr="00081B52">
        <w:rPr>
          <w:rFonts w:ascii="Century Gothic" w:hAnsi="Century Gothic"/>
          <w:sz w:val="20"/>
          <w:szCs w:val="20"/>
        </w:rPr>
        <w:t>Das Programm kann leider nicht erkennen, ob sich die Konstellation des CB geändert hat.</w:t>
      </w:r>
    </w:p>
    <w:p w:rsidR="00465763" w:rsidRPr="00081B52" w:rsidRDefault="00465763">
      <w:pPr>
        <w:rPr>
          <w:rFonts w:ascii="Century Gothic" w:hAnsi="Century Gothic"/>
          <w:sz w:val="20"/>
          <w:szCs w:val="20"/>
        </w:rPr>
      </w:pPr>
      <w:r w:rsidRPr="00081B52">
        <w:rPr>
          <w:rFonts w:ascii="Century Gothic" w:hAnsi="Century Gothic"/>
          <w:sz w:val="20"/>
          <w:szCs w:val="20"/>
        </w:rPr>
        <w:t>Daher muss hier organisatorisch gehandelt werden.</w:t>
      </w:r>
    </w:p>
    <w:p w:rsidR="00465763" w:rsidRPr="00465763" w:rsidRDefault="00465763" w:rsidP="00465763">
      <w:pPr>
        <w:pStyle w:val="berschrift2"/>
        <w:rPr>
          <w:rFonts w:ascii="Century Gothic" w:hAnsi="Century Gothic"/>
        </w:rPr>
      </w:pPr>
      <w:bookmarkStart w:id="6" w:name="_Toc510888515"/>
      <w:r w:rsidRPr="00465763">
        <w:rPr>
          <w:rFonts w:ascii="Century Gothic" w:hAnsi="Century Gothic"/>
        </w:rPr>
        <w:t>Anmerkung:</w:t>
      </w:r>
      <w:bookmarkEnd w:id="6"/>
    </w:p>
    <w:p w:rsidR="00F56CBF" w:rsidRDefault="00465763">
      <w:pPr>
        <w:rPr>
          <w:rFonts w:ascii="Century Gothic" w:hAnsi="Century Gothic"/>
          <w:sz w:val="20"/>
          <w:szCs w:val="20"/>
        </w:rPr>
      </w:pPr>
      <w:r w:rsidRPr="00081B52">
        <w:rPr>
          <w:rFonts w:ascii="Century Gothic" w:hAnsi="Century Gothic"/>
          <w:sz w:val="20"/>
          <w:szCs w:val="20"/>
        </w:rPr>
        <w:t>Hinweis in DCC-Dokumentation hinterlegen.</w:t>
      </w:r>
    </w:p>
    <w:p w:rsidR="00571E66" w:rsidRPr="00F56CBF" w:rsidRDefault="00571E66" w:rsidP="00571E66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lastRenderedPageBreak/>
        <w:t>Jobplanung</w:t>
      </w:r>
    </w:p>
    <w:p w:rsidR="00F56CBF" w:rsidRPr="00F56CBF" w:rsidRDefault="00F56CBF" w:rsidP="00F56CB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entury Gothic" w:hAnsi="Century Gothic" w:cs="Arial"/>
          <w:sz w:val="18"/>
          <w:szCs w:val="18"/>
        </w:rPr>
      </w:pPr>
      <w:bookmarkStart w:id="7" w:name="_GoBack"/>
      <w:bookmarkEnd w:id="7"/>
      <w:r w:rsidRPr="00F56CBF">
        <w:rPr>
          <w:rFonts w:ascii="Century Gothic" w:hAnsi="Century Gothic"/>
          <w:noProof/>
          <w:sz w:val="18"/>
          <w:szCs w:val="18"/>
          <w:lang w:eastAsia="de-DE"/>
        </w:rPr>
        <w:drawing>
          <wp:inline distT="0" distB="0" distL="0" distR="0" wp14:anchorId="41C5E410" wp14:editId="5FCB100E">
            <wp:extent cx="231140" cy="231140"/>
            <wp:effectExtent l="0" t="0" r="0" b="0"/>
            <wp:docPr id="10" name="Bild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140" cy="231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56CBF">
        <w:rPr>
          <w:rFonts w:ascii="Century Gothic" w:hAnsi="Century Gothic"/>
          <w:sz w:val="18"/>
          <w:szCs w:val="18"/>
          <w:lang w:val="en-US"/>
        </w:rPr>
        <w:t xml:space="preserve"> </w:t>
      </w:r>
      <w:r w:rsidRPr="00F56CBF">
        <w:rPr>
          <w:rFonts w:ascii="Century Gothic" w:hAnsi="Century Gothic" w:cs="Arial"/>
          <w:sz w:val="18"/>
          <w:szCs w:val="18"/>
        </w:rPr>
        <w:t xml:space="preserve">Nach Änderung </w:t>
      </w:r>
      <w:r w:rsidRPr="00F56CBF">
        <w:rPr>
          <w:rFonts w:ascii="Century Gothic" w:hAnsi="Century Gothic" w:cs="Arial"/>
          <w:sz w:val="18"/>
          <w:szCs w:val="18"/>
        </w:rPr>
        <w:t>eines</w:t>
      </w:r>
      <w:r w:rsidRPr="00F56CBF">
        <w:rPr>
          <w:rFonts w:ascii="Century Gothic" w:hAnsi="Century Gothic" w:cs="Arial"/>
          <w:sz w:val="18"/>
          <w:szCs w:val="18"/>
        </w:rPr>
        <w:t xml:space="preserve"> Controlling-Bereich</w:t>
      </w:r>
      <w:r w:rsidRPr="00F56CBF">
        <w:rPr>
          <w:rFonts w:ascii="Century Gothic" w:hAnsi="Century Gothic" w:cs="Arial"/>
          <w:sz w:val="18"/>
          <w:szCs w:val="18"/>
        </w:rPr>
        <w:t>s</w:t>
      </w:r>
      <w:r w:rsidRPr="00F56CBF">
        <w:rPr>
          <w:rFonts w:ascii="Century Gothic" w:hAnsi="Century Gothic" w:cs="Arial"/>
          <w:sz w:val="18"/>
          <w:szCs w:val="18"/>
        </w:rPr>
        <w:t xml:space="preserve"> funktioniert ausschließlich der Stichtag ohne weitere </w:t>
      </w:r>
      <w:r>
        <w:rPr>
          <w:rFonts w:ascii="Century Gothic" w:hAnsi="Century Gothic" w:cs="Arial"/>
          <w:sz w:val="18"/>
          <w:szCs w:val="18"/>
        </w:rPr>
        <w:t>Aktion</w:t>
      </w:r>
      <w:r w:rsidRPr="00F56CBF">
        <w:rPr>
          <w:rFonts w:ascii="Century Gothic" w:hAnsi="Century Gothic" w:cs="Arial"/>
          <w:sz w:val="18"/>
          <w:szCs w:val="18"/>
        </w:rPr>
        <w:t>, bei Woche und Monat werden die Änderungen u.U. nicht wirksam. Wenn die Änderung des Controlling-Bereichs zu einem kleineren Material-</w:t>
      </w:r>
      <w:proofErr w:type="spellStart"/>
      <w:r w:rsidRPr="00F56CBF">
        <w:rPr>
          <w:rFonts w:ascii="Century Gothic" w:hAnsi="Century Gothic" w:cs="Arial"/>
          <w:sz w:val="18"/>
          <w:szCs w:val="18"/>
        </w:rPr>
        <w:t>Scope</w:t>
      </w:r>
      <w:proofErr w:type="spellEnd"/>
      <w:r w:rsidRPr="00F56CBF">
        <w:rPr>
          <w:rFonts w:ascii="Century Gothic" w:hAnsi="Century Gothic" w:cs="Arial"/>
          <w:sz w:val="18"/>
          <w:szCs w:val="18"/>
        </w:rPr>
        <w:t xml:space="preserve"> führt, bleiben die "alten" Zuordnungen in Woche/Monat erhalten, da auch bei einem Initial-Lauf die "alte" Datenwelt nicht komplett gelöscht wird.</w:t>
      </w:r>
      <w:r w:rsidRPr="00F56CBF">
        <w:rPr>
          <w:rFonts w:ascii="Century Gothic" w:hAnsi="Century Gothic" w:cs="Arial"/>
          <w:sz w:val="18"/>
          <w:szCs w:val="18"/>
        </w:rPr>
        <w:br/>
        <w:t>Nach Änderung des Controlling-Bereichs muss daher ein vorheriger CLEANUP auf die CB-Wochen/Monats-Kennzahlen durchgeführt werden. Das Programm kann leider nicht erkennen, ob sich die Konstellation des CB geändert hat. Daher muss hier organisatorisch gehandelt werden.</w:t>
      </w:r>
    </w:p>
    <w:p w:rsidR="008E0BA0" w:rsidRPr="00081B52" w:rsidRDefault="008E0BA0">
      <w:pPr>
        <w:rPr>
          <w:rFonts w:ascii="Century Gothic" w:eastAsiaTheme="majorEastAsia" w:hAnsi="Century Gothic" w:cstheme="majorBidi"/>
          <w:color w:val="2E74B5" w:themeColor="accent1" w:themeShade="BF"/>
          <w:sz w:val="20"/>
          <w:szCs w:val="20"/>
        </w:rPr>
      </w:pPr>
      <w:r w:rsidRPr="00081B52">
        <w:rPr>
          <w:rFonts w:ascii="Century Gothic" w:hAnsi="Century Gothic"/>
          <w:sz w:val="20"/>
          <w:szCs w:val="20"/>
        </w:rPr>
        <w:br w:type="page"/>
      </w:r>
    </w:p>
    <w:p w:rsidR="00B56E7F" w:rsidRPr="00465763" w:rsidRDefault="00B56E7F" w:rsidP="008E0BA0">
      <w:pPr>
        <w:pStyle w:val="berschrift1"/>
        <w:rPr>
          <w:rFonts w:ascii="Century Gothic" w:hAnsi="Century Gothic"/>
        </w:rPr>
      </w:pPr>
      <w:bookmarkStart w:id="8" w:name="_Toc510888516"/>
      <w:r w:rsidRPr="00465763">
        <w:rPr>
          <w:rFonts w:ascii="Century Gothic" w:hAnsi="Century Gothic"/>
        </w:rPr>
        <w:lastRenderedPageBreak/>
        <w:t>Monat</w:t>
      </w:r>
      <w:r w:rsidR="008E0BA0" w:rsidRPr="00465763">
        <w:rPr>
          <w:rFonts w:ascii="Century Gothic" w:hAnsi="Century Gothic"/>
        </w:rPr>
        <w:t xml:space="preserve"> - nicht OK</w:t>
      </w:r>
      <w:bookmarkEnd w:id="8"/>
    </w:p>
    <w:p w:rsidR="00465763" w:rsidRPr="00465763" w:rsidRDefault="00465763" w:rsidP="00465763">
      <w:pPr>
        <w:pStyle w:val="berschrift2"/>
        <w:rPr>
          <w:rFonts w:ascii="Century Gothic" w:hAnsi="Century Gothic"/>
        </w:rPr>
      </w:pPr>
      <w:bookmarkStart w:id="9" w:name="_Toc510888517"/>
      <w:r w:rsidRPr="00465763">
        <w:rPr>
          <w:rFonts w:ascii="Century Gothic" w:hAnsi="Century Gothic"/>
        </w:rPr>
        <w:t>Analyse (CBR)</w:t>
      </w:r>
      <w:bookmarkEnd w:id="9"/>
    </w:p>
    <w:p w:rsidR="008E0BA0" w:rsidRPr="00465763" w:rsidRDefault="008E0BA0">
      <w:pPr>
        <w:rPr>
          <w:rFonts w:ascii="Century Gothic" w:hAnsi="Century Gothic"/>
        </w:rPr>
      </w:pPr>
      <w:r w:rsidRPr="00465763">
        <w:rPr>
          <w:rFonts w:ascii="Century Gothic" w:hAnsi="Century Gothic"/>
        </w:rPr>
        <w:t>Die alten Zuordnungen bleiben fälschlicherweise erhalten. --&gt; Laufnummer 000000087</w:t>
      </w:r>
      <w:r w:rsidRPr="00465763">
        <w:rPr>
          <w:rFonts w:ascii="Century Gothic" w:hAnsi="Century Gothic"/>
        </w:rPr>
        <w:t>4</w:t>
      </w:r>
      <w:r w:rsidRPr="00465763">
        <w:rPr>
          <w:rFonts w:ascii="Century Gothic" w:hAnsi="Century Gothic"/>
        </w:rPr>
        <w:br/>
        <w:t>Die neuen Zuordnungen sind OK. --&gt; Laufnummer 00000008</w:t>
      </w:r>
      <w:r w:rsidRPr="00465763">
        <w:rPr>
          <w:rFonts w:ascii="Century Gothic" w:hAnsi="Century Gothic"/>
        </w:rPr>
        <w:t>80</w:t>
      </w:r>
    </w:p>
    <w:p w:rsidR="008E0BA0" w:rsidRPr="00465763" w:rsidRDefault="008E0BA0">
      <w:pPr>
        <w:rPr>
          <w:rFonts w:ascii="Century Gothic" w:hAnsi="Century Gothic"/>
        </w:rPr>
      </w:pPr>
      <w:r w:rsidRPr="00465763">
        <w:rPr>
          <w:rFonts w:ascii="Century Gothic" w:hAnsi="Century Gothic"/>
          <w:noProof/>
        </w:rPr>
        <w:drawing>
          <wp:inline distT="0" distB="0" distL="0" distR="0" wp14:anchorId="7653B0D7" wp14:editId="50AE2953">
            <wp:extent cx="5760720" cy="2234565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34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0BA0" w:rsidRPr="00081B52" w:rsidRDefault="008E0BA0" w:rsidP="008E0BA0">
      <w:pPr>
        <w:rPr>
          <w:rFonts w:ascii="Century Gothic" w:hAnsi="Century Gothic"/>
          <w:sz w:val="20"/>
          <w:szCs w:val="20"/>
        </w:rPr>
      </w:pPr>
      <w:r w:rsidRPr="00081B52">
        <w:rPr>
          <w:rFonts w:ascii="Century Gothic" w:hAnsi="Century Gothic"/>
          <w:sz w:val="20"/>
          <w:szCs w:val="20"/>
        </w:rPr>
        <w:t>Wenn die Änderung des Controlling-Bereichs zu einem kleineren Material-</w:t>
      </w:r>
      <w:proofErr w:type="spellStart"/>
      <w:r w:rsidRPr="00081B52">
        <w:rPr>
          <w:rFonts w:ascii="Century Gothic" w:hAnsi="Century Gothic"/>
          <w:sz w:val="20"/>
          <w:szCs w:val="20"/>
        </w:rPr>
        <w:t>Scope</w:t>
      </w:r>
      <w:proofErr w:type="spellEnd"/>
      <w:r w:rsidRPr="00081B52">
        <w:rPr>
          <w:rFonts w:ascii="Century Gothic" w:hAnsi="Century Gothic"/>
          <w:sz w:val="20"/>
          <w:szCs w:val="20"/>
        </w:rPr>
        <w:t xml:space="preserve"> führt, bleiben die "alten" Zuordnungen erhalten, da auch bei einem Initial-Lauf die "alte" Datenwelt nicht komplett gelöscht wird.</w:t>
      </w:r>
    </w:p>
    <w:p w:rsidR="00465763" w:rsidRPr="00465763" w:rsidRDefault="00465763" w:rsidP="00465763">
      <w:pPr>
        <w:pStyle w:val="berschrift2"/>
        <w:rPr>
          <w:rFonts w:ascii="Century Gothic" w:hAnsi="Century Gothic"/>
        </w:rPr>
      </w:pPr>
      <w:bookmarkStart w:id="10" w:name="_Toc510888518"/>
      <w:r w:rsidRPr="00465763">
        <w:rPr>
          <w:rFonts w:ascii="Century Gothic" w:hAnsi="Century Gothic"/>
        </w:rPr>
        <w:t>Lösung:</w:t>
      </w:r>
      <w:bookmarkEnd w:id="10"/>
    </w:p>
    <w:p w:rsidR="00465763" w:rsidRPr="00081B52" w:rsidRDefault="00465763" w:rsidP="00465763">
      <w:pPr>
        <w:rPr>
          <w:rFonts w:ascii="Century Gothic" w:hAnsi="Century Gothic"/>
          <w:sz w:val="20"/>
          <w:szCs w:val="20"/>
        </w:rPr>
      </w:pPr>
      <w:r w:rsidRPr="00081B52">
        <w:rPr>
          <w:rFonts w:ascii="Century Gothic" w:hAnsi="Century Gothic"/>
          <w:sz w:val="20"/>
          <w:szCs w:val="20"/>
        </w:rPr>
        <w:t>nach Änderung des Controlling-Bereichs muss ein vorheriger CLEANUP auf die CB-Wochen-Kennzahlen durchgeführt werden.</w:t>
      </w:r>
      <w:r w:rsidRPr="00081B52">
        <w:rPr>
          <w:rFonts w:ascii="Century Gothic" w:hAnsi="Century Gothic"/>
          <w:sz w:val="20"/>
          <w:szCs w:val="20"/>
        </w:rPr>
        <w:t xml:space="preserve"> </w:t>
      </w:r>
    </w:p>
    <w:p w:rsidR="00465763" w:rsidRPr="00081B52" w:rsidRDefault="00465763" w:rsidP="00465763">
      <w:pPr>
        <w:rPr>
          <w:rFonts w:ascii="Century Gothic" w:hAnsi="Century Gothic"/>
          <w:sz w:val="20"/>
          <w:szCs w:val="20"/>
        </w:rPr>
      </w:pPr>
      <w:r w:rsidRPr="00081B52">
        <w:rPr>
          <w:rFonts w:ascii="Century Gothic" w:hAnsi="Century Gothic"/>
          <w:sz w:val="20"/>
          <w:szCs w:val="20"/>
        </w:rPr>
        <w:t>Das Programm kann leider nicht erkennen, ob sich die Konstellation des CB geändert hat.</w:t>
      </w:r>
    </w:p>
    <w:p w:rsidR="00465763" w:rsidRPr="00081B52" w:rsidRDefault="00465763" w:rsidP="00465763">
      <w:pPr>
        <w:rPr>
          <w:rFonts w:ascii="Century Gothic" w:hAnsi="Century Gothic"/>
          <w:sz w:val="20"/>
          <w:szCs w:val="20"/>
        </w:rPr>
      </w:pPr>
      <w:r w:rsidRPr="00081B52">
        <w:rPr>
          <w:rFonts w:ascii="Century Gothic" w:hAnsi="Century Gothic"/>
          <w:sz w:val="20"/>
          <w:szCs w:val="20"/>
        </w:rPr>
        <w:t>Daher muss hier organisatorisch gehandelt werden.</w:t>
      </w:r>
    </w:p>
    <w:p w:rsidR="00465763" w:rsidRPr="00465763" w:rsidRDefault="00465763" w:rsidP="00465763">
      <w:pPr>
        <w:pStyle w:val="berschrift2"/>
        <w:rPr>
          <w:rFonts w:ascii="Century Gothic" w:hAnsi="Century Gothic"/>
        </w:rPr>
      </w:pPr>
      <w:bookmarkStart w:id="11" w:name="_Toc510888519"/>
      <w:r w:rsidRPr="00465763">
        <w:rPr>
          <w:rFonts w:ascii="Century Gothic" w:hAnsi="Century Gothic"/>
        </w:rPr>
        <w:t>Anmerkung:</w:t>
      </w:r>
      <w:bookmarkEnd w:id="11"/>
    </w:p>
    <w:p w:rsidR="00F56CBF" w:rsidRDefault="00465763" w:rsidP="00F56CBF">
      <w:pPr>
        <w:rPr>
          <w:rFonts w:ascii="Century Gothic" w:hAnsi="Century Gothic"/>
          <w:sz w:val="20"/>
          <w:szCs w:val="20"/>
        </w:rPr>
      </w:pPr>
      <w:r w:rsidRPr="00081B52">
        <w:rPr>
          <w:rFonts w:ascii="Century Gothic" w:hAnsi="Century Gothic"/>
          <w:sz w:val="20"/>
          <w:szCs w:val="20"/>
        </w:rPr>
        <w:t>Hinweis in DCC-Dokumentation hinterlegen.</w:t>
      </w:r>
    </w:p>
    <w:p w:rsidR="00571E66" w:rsidRPr="00F56CBF" w:rsidRDefault="00571E66" w:rsidP="00F56CBF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Jobplanung</w:t>
      </w:r>
    </w:p>
    <w:p w:rsidR="00F56CBF" w:rsidRPr="00F56CBF" w:rsidRDefault="00F56CBF" w:rsidP="00F56CB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entury Gothic" w:hAnsi="Century Gothic" w:cs="Arial"/>
          <w:sz w:val="18"/>
          <w:szCs w:val="18"/>
        </w:rPr>
      </w:pPr>
      <w:r w:rsidRPr="00F56CBF">
        <w:rPr>
          <w:rFonts w:ascii="Century Gothic" w:hAnsi="Century Gothic"/>
          <w:noProof/>
          <w:sz w:val="18"/>
          <w:szCs w:val="18"/>
          <w:lang w:eastAsia="de-DE"/>
        </w:rPr>
        <w:drawing>
          <wp:inline distT="0" distB="0" distL="0" distR="0" wp14:anchorId="2F26DF8E" wp14:editId="015B064F">
            <wp:extent cx="231140" cy="231140"/>
            <wp:effectExtent l="0" t="0" r="0" b="0"/>
            <wp:docPr id="12" name="Bild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140" cy="231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56CBF">
        <w:rPr>
          <w:rFonts w:ascii="Century Gothic" w:hAnsi="Century Gothic"/>
          <w:sz w:val="18"/>
          <w:szCs w:val="18"/>
          <w:lang w:val="en-US"/>
        </w:rPr>
        <w:t xml:space="preserve"> </w:t>
      </w:r>
      <w:r w:rsidRPr="00F56CBF">
        <w:rPr>
          <w:rFonts w:ascii="Century Gothic" w:hAnsi="Century Gothic" w:cs="Arial"/>
          <w:sz w:val="18"/>
          <w:szCs w:val="18"/>
        </w:rPr>
        <w:t xml:space="preserve">Nach Änderung eines Controlling-Bereichs funktioniert ausschließlich der Stichtag ohne weitere </w:t>
      </w:r>
      <w:r>
        <w:rPr>
          <w:rFonts w:ascii="Century Gothic" w:hAnsi="Century Gothic" w:cs="Arial"/>
          <w:sz w:val="18"/>
          <w:szCs w:val="18"/>
        </w:rPr>
        <w:t>Aktion</w:t>
      </w:r>
      <w:r w:rsidRPr="00F56CBF">
        <w:rPr>
          <w:rFonts w:ascii="Century Gothic" w:hAnsi="Century Gothic" w:cs="Arial"/>
          <w:sz w:val="18"/>
          <w:szCs w:val="18"/>
        </w:rPr>
        <w:t>, bei Woche und Monat werden die Änderungen u.U. nicht wirksam. Wenn die Änderung des Controlling-Bereichs zu einem kleineren Material-</w:t>
      </w:r>
      <w:proofErr w:type="spellStart"/>
      <w:r w:rsidRPr="00F56CBF">
        <w:rPr>
          <w:rFonts w:ascii="Century Gothic" w:hAnsi="Century Gothic" w:cs="Arial"/>
          <w:sz w:val="18"/>
          <w:szCs w:val="18"/>
        </w:rPr>
        <w:t>Scope</w:t>
      </w:r>
      <w:proofErr w:type="spellEnd"/>
      <w:r w:rsidRPr="00F56CBF">
        <w:rPr>
          <w:rFonts w:ascii="Century Gothic" w:hAnsi="Century Gothic" w:cs="Arial"/>
          <w:sz w:val="18"/>
          <w:szCs w:val="18"/>
        </w:rPr>
        <w:t xml:space="preserve"> führt, bleiben die "alten" Zuordnungen in Woche/Monat erhalten, da auch bei einem Initial-Lauf die "alte" Datenwelt nicht komplett gelöscht wird.</w:t>
      </w:r>
      <w:r w:rsidRPr="00F56CBF">
        <w:rPr>
          <w:rFonts w:ascii="Century Gothic" w:hAnsi="Century Gothic" w:cs="Arial"/>
          <w:sz w:val="18"/>
          <w:szCs w:val="18"/>
        </w:rPr>
        <w:br/>
        <w:t>Nach Änderung des Controlling-Bereichs muss daher ein vorheriger CLEANUP auf die CB-Wochen/Monats-Kennzahlen durchgeführt werden. Das Programm kann leider nicht erkennen, ob sich die Konstellation des CB geändert hat. Daher muss hier organisatorisch gehandelt werden.</w:t>
      </w:r>
    </w:p>
    <w:p w:rsidR="00F56CBF" w:rsidRPr="00081B52" w:rsidRDefault="00F56CBF" w:rsidP="00465763">
      <w:pPr>
        <w:rPr>
          <w:rFonts w:ascii="Century Gothic" w:hAnsi="Century Gothic"/>
          <w:sz w:val="20"/>
          <w:szCs w:val="20"/>
        </w:rPr>
      </w:pPr>
    </w:p>
    <w:p w:rsidR="00465763" w:rsidRPr="00465763" w:rsidRDefault="00465763" w:rsidP="00465763">
      <w:pPr>
        <w:rPr>
          <w:rFonts w:ascii="Century Gothic" w:hAnsi="Century Gothic"/>
        </w:rPr>
      </w:pPr>
    </w:p>
    <w:p w:rsidR="00465763" w:rsidRPr="00465763" w:rsidRDefault="00465763" w:rsidP="008E0BA0">
      <w:pPr>
        <w:rPr>
          <w:rFonts w:ascii="Century Gothic" w:hAnsi="Century Gothic"/>
        </w:rPr>
      </w:pPr>
    </w:p>
    <w:p w:rsidR="008E0BA0" w:rsidRPr="00465763" w:rsidRDefault="008E0BA0">
      <w:pPr>
        <w:rPr>
          <w:rFonts w:ascii="Century Gothic" w:hAnsi="Century Gothic"/>
        </w:rPr>
      </w:pPr>
    </w:p>
    <w:sectPr w:rsidR="008E0BA0" w:rsidRPr="00465763" w:rsidSect="008E0BA0">
      <w:footerReference w:type="default" r:id="rId15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F4F9A" w:rsidRDefault="00CF4F9A" w:rsidP="00465763">
      <w:pPr>
        <w:spacing w:after="0" w:line="240" w:lineRule="auto"/>
      </w:pPr>
      <w:r>
        <w:separator/>
      </w:r>
    </w:p>
  </w:endnote>
  <w:endnote w:type="continuationSeparator" w:id="0">
    <w:p w:rsidR="00CF4F9A" w:rsidRDefault="00CF4F9A" w:rsidP="004657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9524271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465763" w:rsidRDefault="00465763">
            <w:pPr>
              <w:pStyle w:val="Fuzeile"/>
              <w:jc w:val="center"/>
            </w:pPr>
            <w:r>
              <w:t xml:space="preserve">Seite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71E6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von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71E66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65763" w:rsidRDefault="0046576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F4F9A" w:rsidRDefault="00CF4F9A" w:rsidP="00465763">
      <w:pPr>
        <w:spacing w:after="0" w:line="240" w:lineRule="auto"/>
      </w:pPr>
      <w:r>
        <w:separator/>
      </w:r>
    </w:p>
  </w:footnote>
  <w:footnote w:type="continuationSeparator" w:id="0">
    <w:p w:rsidR="00CF4F9A" w:rsidRDefault="00CF4F9A" w:rsidP="0046576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0AA9"/>
    <w:rsid w:val="00081B52"/>
    <w:rsid w:val="00261185"/>
    <w:rsid w:val="00465763"/>
    <w:rsid w:val="00571E66"/>
    <w:rsid w:val="008E0BA0"/>
    <w:rsid w:val="00A70AA9"/>
    <w:rsid w:val="00B56E7F"/>
    <w:rsid w:val="00CF4F9A"/>
    <w:rsid w:val="00D20290"/>
    <w:rsid w:val="00D5310E"/>
    <w:rsid w:val="00F56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469BC8"/>
  <w15:chartTrackingRefBased/>
  <w15:docId w15:val="{C0A01ED8-70D2-476C-A5CC-C621FCC5B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8E0BA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46576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8E0BA0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8E0B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E0BA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E0BA0"/>
    <w:pPr>
      <w:outlineLvl w:val="9"/>
    </w:pPr>
    <w:rPr>
      <w:lang w:eastAsia="de-DE"/>
    </w:rPr>
  </w:style>
  <w:style w:type="paragraph" w:styleId="Verzeichnis1">
    <w:name w:val="toc 1"/>
    <w:basedOn w:val="Standard"/>
    <w:next w:val="Standard"/>
    <w:autoRedefine/>
    <w:uiPriority w:val="39"/>
    <w:unhideWhenUsed/>
    <w:rsid w:val="008E0BA0"/>
    <w:pPr>
      <w:spacing w:after="100"/>
    </w:pPr>
  </w:style>
  <w:style w:type="character" w:styleId="Hyperlink">
    <w:name w:val="Hyperlink"/>
    <w:basedOn w:val="Absatz-Standardschriftart"/>
    <w:uiPriority w:val="99"/>
    <w:unhideWhenUsed/>
    <w:rsid w:val="008E0BA0"/>
    <w:rPr>
      <w:color w:val="0563C1" w:themeColor="hyperlink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46576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Verzeichnis2">
    <w:name w:val="toc 2"/>
    <w:basedOn w:val="Standard"/>
    <w:next w:val="Standard"/>
    <w:autoRedefine/>
    <w:uiPriority w:val="39"/>
    <w:unhideWhenUsed/>
    <w:rsid w:val="00465763"/>
    <w:pPr>
      <w:spacing w:after="100"/>
      <w:ind w:left="220"/>
    </w:pPr>
  </w:style>
  <w:style w:type="paragraph" w:styleId="Kopfzeile">
    <w:name w:val="header"/>
    <w:basedOn w:val="Standard"/>
    <w:link w:val="KopfzeileZchn"/>
    <w:uiPriority w:val="99"/>
    <w:unhideWhenUsed/>
    <w:rsid w:val="004657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65763"/>
  </w:style>
  <w:style w:type="paragraph" w:styleId="Fuzeile">
    <w:name w:val="footer"/>
    <w:basedOn w:val="Standard"/>
    <w:link w:val="FuzeileZchn"/>
    <w:uiPriority w:val="99"/>
    <w:unhideWhenUsed/>
    <w:rsid w:val="004657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65763"/>
  </w:style>
  <w:style w:type="paragraph" w:customStyle="1" w:styleId="BPTabelle">
    <w:name w:val="BP_Tabelle"/>
    <w:basedOn w:val="Standard"/>
    <w:qFormat/>
    <w:rsid w:val="00F56CBF"/>
    <w:pPr>
      <w:spacing w:before="80" w:after="80" w:line="240" w:lineRule="auto"/>
      <w:ind w:right="57"/>
    </w:pPr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E3701B-DCDF-4AEC-ACCD-0C9D01D404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636</Words>
  <Characters>4010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Bröcher</dc:creator>
  <cp:keywords/>
  <dc:description/>
  <cp:lastModifiedBy>Christine Bröcher</cp:lastModifiedBy>
  <cp:revision>1</cp:revision>
  <dcterms:created xsi:type="dcterms:W3CDTF">2018-04-07T15:10:00Z</dcterms:created>
  <dcterms:modified xsi:type="dcterms:W3CDTF">2018-04-07T16:43:00Z</dcterms:modified>
</cp:coreProperties>
</file>