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71CC0" w:rsidRPr="007868F0" w:rsidRDefault="00327A5A">
      <w:pPr>
        <w:rPr>
          <w:b/>
          <w:u w:val="single"/>
        </w:rPr>
      </w:pPr>
      <w:r w:rsidRPr="007868F0">
        <w:rPr>
          <w:b/>
          <w:u w:val="single"/>
        </w:rPr>
        <w:t>Auswirkung der Einführung des TSB Verfahrens auf die DCF Prognose</w:t>
      </w:r>
    </w:p>
    <w:p w:rsidR="00327A5A" w:rsidRDefault="00327A5A"/>
    <w:p w:rsidR="00327A5A" w:rsidRDefault="00327A5A">
      <w:r>
        <w:t xml:space="preserve">Mit Bug 8050 wird das TSB Verfahren als neues Prognoseverfahren für sporadische Materialien eingeführt. Das TSB Verfahren ist eine Variante des </w:t>
      </w:r>
      <w:proofErr w:type="spellStart"/>
      <w:r>
        <w:t>Croston</w:t>
      </w:r>
      <w:proofErr w:type="spellEnd"/>
      <w:r w:rsidR="007868F0">
        <w:t xml:space="preserve"> Verfahrens und wurde speziell</w:t>
      </w:r>
      <w:r>
        <w:t xml:space="preserve"> für von Obsoleszenz bedrohte Materialien entwickelt. </w:t>
      </w:r>
    </w:p>
    <w:p w:rsidR="00327A5A" w:rsidRDefault="00327A5A">
      <w:r>
        <w:t>Mit zunehmender Anzahl Perioden ohne Bedarfs berücksichtigt das TSB Verfahren das steigende Risiko einer plötzlichen Obsoleszenz des Materials in Form einer sinkenden Wahrscheinlichkeit für das Auftreten eines positiven Verbrauchs in der Folgeperiode.</w:t>
      </w:r>
    </w:p>
    <w:p w:rsidR="00327A5A" w:rsidRDefault="00327A5A">
      <w:r>
        <w:t xml:space="preserve">Während das </w:t>
      </w:r>
      <w:proofErr w:type="spellStart"/>
      <w:r>
        <w:t>Croston</w:t>
      </w:r>
      <w:proofErr w:type="spellEnd"/>
      <w:r>
        <w:t xml:space="preserve"> Verfahren die Prognose in Perioden ohne Verbrauch konstant fortschreibt, führt die Berücksichtigung des </w:t>
      </w:r>
      <w:proofErr w:type="spellStart"/>
      <w:r>
        <w:t>Obsoleszenzrisikos</w:t>
      </w:r>
      <w:proofErr w:type="spellEnd"/>
      <w:r>
        <w:t xml:space="preserve"> beim TSB Verfahren zu sinkenden Prognosemengen mit zunehmender Länge von Nullverbrauchsepisoden.</w:t>
      </w:r>
    </w:p>
    <w:p w:rsidR="00327A5A" w:rsidRDefault="00327A5A">
      <w:r>
        <w:t xml:space="preserve">Das TSB Verfahren nutzt neben dem Alpha-Faktor zur Glättung der geschätzten Nachfragemenge </w:t>
      </w:r>
      <w:r w:rsidR="007868F0">
        <w:t xml:space="preserve">(analog zum </w:t>
      </w:r>
      <w:proofErr w:type="spellStart"/>
      <w:r w:rsidR="007868F0">
        <w:t>Croston</w:t>
      </w:r>
      <w:proofErr w:type="spellEnd"/>
      <w:r w:rsidR="007868F0">
        <w:t xml:space="preserve"> Verfahren) </w:t>
      </w:r>
      <w:r>
        <w:t xml:space="preserve">zusätzlich den Beta-Faktor zur Glättung der geschätzten Nachfragewahrscheinlichkeit. Je höher Beta, desto schneller sinkt die Nachfragewahrscheinlichkeit (und damit die Prognosemenge) im Fall längerer Nullverbrauchsepisoden. </w:t>
      </w:r>
    </w:p>
    <w:p w:rsidR="007868F0" w:rsidRDefault="007868F0">
      <w:r>
        <w:t xml:space="preserve">Im Folgenden werden die Glättungsparameter mit ihren </w:t>
      </w:r>
      <w:proofErr w:type="spellStart"/>
      <w:r>
        <w:t>Defaultwerten</w:t>
      </w:r>
      <w:proofErr w:type="spellEnd"/>
      <w:r>
        <w:t xml:space="preserve"> eingesetzt:</w:t>
      </w:r>
    </w:p>
    <w:p w:rsidR="007868F0" w:rsidRDefault="007868F0" w:rsidP="007868F0">
      <w:pPr>
        <w:pStyle w:val="Listenabsatz"/>
        <w:numPr>
          <w:ilvl w:val="0"/>
          <w:numId w:val="4"/>
        </w:numPr>
      </w:pPr>
      <w:r>
        <w:t>Alpha = 0,2</w:t>
      </w:r>
    </w:p>
    <w:p w:rsidR="00327A5A" w:rsidRDefault="007868F0" w:rsidP="002B3FA6">
      <w:pPr>
        <w:pStyle w:val="Listenabsatz"/>
        <w:numPr>
          <w:ilvl w:val="0"/>
          <w:numId w:val="4"/>
        </w:numPr>
      </w:pPr>
      <w:r>
        <w:t>Beta = 0,1.</w:t>
      </w:r>
    </w:p>
    <w:p w:rsidR="00327A5A" w:rsidRDefault="00327A5A" w:rsidP="00327A5A">
      <w:r>
        <w:t xml:space="preserve">Zur Evaluierung der Auswirkungen </w:t>
      </w:r>
      <w:r w:rsidR="00A429C6">
        <w:t>der Einführung des TSB Verfahrens</w:t>
      </w:r>
      <w:r>
        <w:t xml:space="preserve"> wird ein Vergleich der resultierenden Prognoseergebnisse beider Verfahren auf folgender Grundlage durchgeführt:</w:t>
      </w:r>
    </w:p>
    <w:p w:rsidR="00327A5A" w:rsidRDefault="00A429C6" w:rsidP="00327A5A">
      <w:pPr>
        <w:pStyle w:val="Listenabsatz"/>
        <w:numPr>
          <w:ilvl w:val="0"/>
          <w:numId w:val="1"/>
        </w:numPr>
      </w:pPr>
      <w:r>
        <w:t>57</w:t>
      </w:r>
      <w:r w:rsidR="00327A5A">
        <w:t xml:space="preserve"> </w:t>
      </w:r>
      <w:r>
        <w:t>Z-</w:t>
      </w:r>
      <w:r w:rsidR="00327A5A">
        <w:t>Materialien mit Monatsverbrauch (Weidmüller)</w:t>
      </w:r>
    </w:p>
    <w:p w:rsidR="00327A5A" w:rsidRDefault="00327A5A" w:rsidP="00A429C6">
      <w:pPr>
        <w:pStyle w:val="Listenabsatz"/>
        <w:numPr>
          <w:ilvl w:val="0"/>
          <w:numId w:val="1"/>
        </w:numPr>
      </w:pPr>
      <w:r>
        <w:t xml:space="preserve">Anteil NP von </w:t>
      </w:r>
      <w:r w:rsidR="00A429C6">
        <w:t xml:space="preserve">10 </w:t>
      </w:r>
      <w:r>
        <w:t xml:space="preserve">bis </w:t>
      </w:r>
      <w:r w:rsidR="007868F0">
        <w:t>93,33</w:t>
      </w:r>
    </w:p>
    <w:p w:rsidR="007868F0" w:rsidRDefault="007868F0" w:rsidP="00A429C6">
      <w:pPr>
        <w:pStyle w:val="Listenabsatz"/>
        <w:numPr>
          <w:ilvl w:val="0"/>
          <w:numId w:val="1"/>
        </w:numPr>
      </w:pPr>
      <w:r>
        <w:t xml:space="preserve">Lediglich 1 Material hat eine Anzahl Perioden ohne Verbrauch (AV) &gt; 12 (17 Perioden); weitere 10 Materialien hatten im letzten Quartal keinen Verbrauch mehr (AV &gt;= 3). </w:t>
      </w:r>
    </w:p>
    <w:p w:rsidR="00A429C6" w:rsidRDefault="00A429C6" w:rsidP="00A429C6"/>
    <w:p w:rsidR="00A429C6" w:rsidRDefault="00A429C6" w:rsidP="00A429C6">
      <w:r>
        <w:t>Verglichen wird jeweils die durchschnittliche Prognosegenauigkeit (FA) des ex Post als bestes Verfahren gemäß DCF Bewertung ausgewählten Verfahrens nach</w:t>
      </w:r>
    </w:p>
    <w:p w:rsidR="00A429C6" w:rsidRDefault="00A429C6" w:rsidP="00A429C6">
      <w:pPr>
        <w:pStyle w:val="Listenabsatz"/>
        <w:numPr>
          <w:ilvl w:val="0"/>
          <w:numId w:val="1"/>
        </w:numPr>
      </w:pPr>
      <w:r>
        <w:t>1 Monat (FA1)</w:t>
      </w:r>
    </w:p>
    <w:p w:rsidR="00A429C6" w:rsidRDefault="00A429C6" w:rsidP="00A429C6">
      <w:pPr>
        <w:pStyle w:val="Listenabsatz"/>
        <w:numPr>
          <w:ilvl w:val="0"/>
          <w:numId w:val="1"/>
        </w:numPr>
      </w:pPr>
      <w:r>
        <w:t>3 Monaten als Summenkennzahl (FA3)</w:t>
      </w:r>
    </w:p>
    <w:p w:rsidR="00A429C6" w:rsidRDefault="00A429C6" w:rsidP="00A429C6">
      <w:pPr>
        <w:pStyle w:val="Listenabsatz"/>
        <w:numPr>
          <w:ilvl w:val="0"/>
          <w:numId w:val="1"/>
        </w:numPr>
      </w:pPr>
      <w:r>
        <w:t>6 Monaten als Summenkennzahl (FA6).</w:t>
      </w:r>
    </w:p>
    <w:p w:rsidR="00A429C6" w:rsidRDefault="00A429C6" w:rsidP="00A429C6"/>
    <w:p w:rsidR="00A429C6" w:rsidRPr="00A429C6" w:rsidRDefault="00A429C6" w:rsidP="00A429C6">
      <w:pPr>
        <w:rPr>
          <w:b/>
          <w:u w:val="single"/>
        </w:rPr>
      </w:pPr>
      <w:r w:rsidRPr="00A429C6">
        <w:rPr>
          <w:b/>
          <w:u w:val="single"/>
        </w:rPr>
        <w:t xml:space="preserve">Prognosegenauigkeit gemäß altem DCF </w:t>
      </w:r>
      <w:proofErr w:type="spellStart"/>
      <w:r w:rsidRPr="00A429C6">
        <w:rPr>
          <w:b/>
          <w:u w:val="single"/>
        </w:rPr>
        <w:t>Croston</w:t>
      </w:r>
      <w:proofErr w:type="spellEnd"/>
      <w:r w:rsidRPr="00A429C6">
        <w:rPr>
          <w:b/>
          <w:u w:val="single"/>
        </w:rPr>
        <w:t xml:space="preserve"> Verfahren (CR).</w:t>
      </w:r>
    </w:p>
    <w:p w:rsidR="00A429C6" w:rsidRDefault="00A429C6" w:rsidP="00A429C6">
      <w:r>
        <w:t xml:space="preserve">Ex Post entspricht das DCF CR der exponentiellen Glättung 1. Ordnung (S1), d.h. die ex Post Auswahl des CR als bestes Verfahren entspricht hier der Wahl des Verfahrens S1. Die resultierende Prognosegenauigkeit ergibt sich aber aus der CR Prognose. </w:t>
      </w:r>
    </w:p>
    <w:p w:rsidR="00A429C6" w:rsidRDefault="00A429C6" w:rsidP="00A429C6">
      <w:r>
        <w:t>Das Ergebnis entspricht also der DCF Bewertung bis Release 7.40.</w:t>
      </w:r>
    </w:p>
    <w:p w:rsidR="00A429C6" w:rsidRDefault="00F606CB" w:rsidP="00A429C6">
      <w:pPr>
        <w:jc w:val="center"/>
      </w:pPr>
      <w:r w:rsidRPr="00F606CB">
        <w:lastRenderedPageBreak/>
        <w:drawing>
          <wp:inline distT="0" distB="0" distL="0" distR="0">
            <wp:extent cx="3840480" cy="1104900"/>
            <wp:effectExtent l="0" t="0" r="7620" b="0"/>
            <wp:docPr id="5" name="Grafik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3840480" cy="1104900"/>
                    </a:xfrm>
                    <a:prstGeom prst="rect">
                      <a:avLst/>
                    </a:prstGeom>
                    <a:noFill/>
                    <a:ln>
                      <a:noFill/>
                    </a:ln>
                  </pic:spPr>
                </pic:pic>
              </a:graphicData>
            </a:graphic>
          </wp:inline>
        </w:drawing>
      </w:r>
    </w:p>
    <w:p w:rsidR="00327A5A" w:rsidRPr="00A429C6" w:rsidRDefault="00A429C6">
      <w:pPr>
        <w:rPr>
          <w:b/>
          <w:u w:val="single"/>
        </w:rPr>
      </w:pPr>
      <w:r w:rsidRPr="00A429C6">
        <w:rPr>
          <w:b/>
          <w:u w:val="single"/>
        </w:rPr>
        <w:t xml:space="preserve">Prognosegenauigkeit mit Verfahren rollierender </w:t>
      </w:r>
      <w:proofErr w:type="spellStart"/>
      <w:r w:rsidRPr="00A429C6">
        <w:rPr>
          <w:b/>
          <w:u w:val="single"/>
        </w:rPr>
        <w:t>Croston</w:t>
      </w:r>
      <w:proofErr w:type="spellEnd"/>
      <w:r w:rsidRPr="00A429C6">
        <w:rPr>
          <w:b/>
          <w:u w:val="single"/>
        </w:rPr>
        <w:t xml:space="preserve"> (RC)</w:t>
      </w:r>
    </w:p>
    <w:p w:rsidR="00A429C6" w:rsidRDefault="00A429C6">
      <w:r>
        <w:t xml:space="preserve">Mit dem Release 7.50 wird das alte DCF </w:t>
      </w:r>
      <w:proofErr w:type="spellStart"/>
      <w:r>
        <w:t>Croston</w:t>
      </w:r>
      <w:proofErr w:type="spellEnd"/>
      <w:r>
        <w:t xml:space="preserve"> Verfahren durch das rollierende </w:t>
      </w:r>
      <w:proofErr w:type="spellStart"/>
      <w:r>
        <w:t>Croston</w:t>
      </w:r>
      <w:proofErr w:type="spellEnd"/>
      <w:r>
        <w:t xml:space="preserve"> Verfahren (RC) ersetzt. D.h. das Ergebnis entspricht der DCF Bewertung Release 7.50 vor Einführung des TSB Verfahrens.</w:t>
      </w:r>
    </w:p>
    <w:p w:rsidR="00A429C6" w:rsidRDefault="00F606CB" w:rsidP="00A429C6">
      <w:pPr>
        <w:jc w:val="center"/>
      </w:pPr>
      <w:r w:rsidRPr="00F606CB">
        <w:drawing>
          <wp:inline distT="0" distB="0" distL="0" distR="0">
            <wp:extent cx="3840480" cy="1104900"/>
            <wp:effectExtent l="0" t="0" r="7620" b="0"/>
            <wp:docPr id="6" name="Grafik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3840480" cy="1104900"/>
                    </a:xfrm>
                    <a:prstGeom prst="rect">
                      <a:avLst/>
                    </a:prstGeom>
                    <a:noFill/>
                    <a:ln>
                      <a:noFill/>
                    </a:ln>
                  </pic:spPr>
                </pic:pic>
              </a:graphicData>
            </a:graphic>
          </wp:inline>
        </w:drawing>
      </w:r>
    </w:p>
    <w:p w:rsidR="00327A5A" w:rsidRDefault="00327A5A"/>
    <w:p w:rsidR="00A429C6" w:rsidRPr="00A429C6" w:rsidRDefault="00A429C6">
      <w:pPr>
        <w:rPr>
          <w:b/>
          <w:u w:val="single"/>
        </w:rPr>
      </w:pPr>
      <w:r w:rsidRPr="00A429C6">
        <w:rPr>
          <w:b/>
          <w:u w:val="single"/>
        </w:rPr>
        <w:t>Prognosegenauigkeit mit Verfahren RC und TSB Verfahren (TB)</w:t>
      </w:r>
    </w:p>
    <w:p w:rsidR="00A429C6" w:rsidRDefault="00A429C6">
      <w:r>
        <w:t>Ergebnis gemäß DCF Bewertung Release 7.50 inklusive beider neuer Verfahren.</w:t>
      </w:r>
    </w:p>
    <w:p w:rsidR="00A429C6" w:rsidRDefault="00F606CB" w:rsidP="00A429C6">
      <w:pPr>
        <w:jc w:val="center"/>
      </w:pPr>
      <w:r w:rsidRPr="00F606CB">
        <w:drawing>
          <wp:inline distT="0" distB="0" distL="0" distR="0">
            <wp:extent cx="3840480" cy="1287780"/>
            <wp:effectExtent l="0" t="0" r="7620" b="7620"/>
            <wp:docPr id="7" name="Grafik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3840480" cy="1287780"/>
                    </a:xfrm>
                    <a:prstGeom prst="rect">
                      <a:avLst/>
                    </a:prstGeom>
                    <a:noFill/>
                    <a:ln>
                      <a:noFill/>
                    </a:ln>
                  </pic:spPr>
                </pic:pic>
              </a:graphicData>
            </a:graphic>
          </wp:inline>
        </w:drawing>
      </w:r>
    </w:p>
    <w:p w:rsidR="00A429C6" w:rsidRDefault="00A429C6" w:rsidP="00A429C6">
      <w:pPr>
        <w:jc w:val="center"/>
      </w:pPr>
    </w:p>
    <w:p w:rsidR="00A429C6" w:rsidRPr="000A7EB9" w:rsidRDefault="00A429C6" w:rsidP="00A429C6">
      <w:pPr>
        <w:rPr>
          <w:b/>
          <w:u w:val="single"/>
        </w:rPr>
      </w:pPr>
      <w:r w:rsidRPr="000A7EB9">
        <w:rPr>
          <w:b/>
          <w:u w:val="single"/>
        </w:rPr>
        <w:t>Prognosegenauigkeit mit Verfahren RC, TSB und Bootstrap linear (BL)</w:t>
      </w:r>
    </w:p>
    <w:p w:rsidR="00A429C6" w:rsidRDefault="00A429C6" w:rsidP="00A429C6">
      <w:r>
        <w:t xml:space="preserve">Das Verfahren Bootstrap linear (BL) kann </w:t>
      </w:r>
      <w:r w:rsidR="000A7EB9">
        <w:t xml:space="preserve">optional </w:t>
      </w:r>
      <w:r>
        <w:t xml:space="preserve">über die parametrisierte Prognose </w:t>
      </w:r>
      <w:r w:rsidR="000A7EB9">
        <w:t>ausgewählt werden. Es ist insbesondere für sporadische Verbrauchsreihen konzeptioniert.</w:t>
      </w:r>
    </w:p>
    <w:p w:rsidR="000A7EB9" w:rsidRDefault="000A7EB9" w:rsidP="00A429C6">
      <w:r>
        <w:t>Ergebnis gemäß DCF Bewertung Release 7.50 inklusive BL.</w:t>
      </w:r>
    </w:p>
    <w:p w:rsidR="000A7EB9" w:rsidRDefault="00F606CB" w:rsidP="000A7EB9">
      <w:pPr>
        <w:jc w:val="center"/>
      </w:pPr>
      <w:r w:rsidRPr="00F606CB">
        <w:drawing>
          <wp:inline distT="0" distB="0" distL="0" distR="0">
            <wp:extent cx="3840480" cy="1470660"/>
            <wp:effectExtent l="0" t="0" r="7620" b="0"/>
            <wp:docPr id="8" name="Grafik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3840480" cy="1470660"/>
                    </a:xfrm>
                    <a:prstGeom prst="rect">
                      <a:avLst/>
                    </a:prstGeom>
                    <a:noFill/>
                    <a:ln>
                      <a:noFill/>
                    </a:ln>
                  </pic:spPr>
                </pic:pic>
              </a:graphicData>
            </a:graphic>
          </wp:inline>
        </w:drawing>
      </w:r>
    </w:p>
    <w:p w:rsidR="000A7EB9" w:rsidRDefault="000A7EB9" w:rsidP="000A7EB9"/>
    <w:p w:rsidR="000A7EB9" w:rsidRPr="000A7EB9" w:rsidRDefault="000A7EB9" w:rsidP="000A7EB9">
      <w:pPr>
        <w:rPr>
          <w:b/>
          <w:u w:val="single"/>
        </w:rPr>
      </w:pPr>
      <w:r w:rsidRPr="000A7EB9">
        <w:rPr>
          <w:b/>
          <w:u w:val="single"/>
        </w:rPr>
        <w:lastRenderedPageBreak/>
        <w:t>Zusammenfassende Übersicht über die Veränderung der Prognosegenauigkeit durch Einführung des TSB Verfahrens</w:t>
      </w:r>
    </w:p>
    <w:p w:rsidR="000A7EB9" w:rsidRDefault="000A7EB9" w:rsidP="000A7EB9"/>
    <w:p w:rsidR="000A7EB9" w:rsidRDefault="005C7EEB" w:rsidP="000A7EB9">
      <w:pPr>
        <w:jc w:val="center"/>
      </w:pPr>
      <w:r>
        <w:rPr>
          <w:noProof/>
          <w:lang w:eastAsia="de-DE"/>
        </w:rPr>
        <w:drawing>
          <wp:inline distT="0" distB="0" distL="0" distR="0" wp14:anchorId="7018594F">
            <wp:extent cx="4578350" cy="2938780"/>
            <wp:effectExtent l="0" t="0" r="0" b="0"/>
            <wp:docPr id="9" name="Grafik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578350" cy="2938780"/>
                    </a:xfrm>
                    <a:prstGeom prst="rect">
                      <a:avLst/>
                    </a:prstGeom>
                    <a:noFill/>
                  </pic:spPr>
                </pic:pic>
              </a:graphicData>
            </a:graphic>
          </wp:inline>
        </w:drawing>
      </w:r>
    </w:p>
    <w:p w:rsidR="000A7EB9" w:rsidRDefault="000A7EB9" w:rsidP="000A7EB9"/>
    <w:p w:rsidR="00B42FB6" w:rsidRDefault="000A7EB9" w:rsidP="000A7EB9">
      <w:r>
        <w:t xml:space="preserve">Mit der Einführung des Verfahrens rollierender </w:t>
      </w:r>
      <w:proofErr w:type="spellStart"/>
      <w:r>
        <w:t>Croston</w:t>
      </w:r>
      <w:proofErr w:type="spellEnd"/>
      <w:r>
        <w:t xml:space="preserve"> (RC) ergibt sich im Vergleich zum Release 7.40 mit dem DCF </w:t>
      </w:r>
      <w:proofErr w:type="spellStart"/>
      <w:r>
        <w:t>Croston</w:t>
      </w:r>
      <w:proofErr w:type="spellEnd"/>
      <w:r>
        <w:t xml:space="preserve"> Verfahren bereits eine deutliche Steigerung der durchschnittlichen Prognosegenauigkeit über alle Verfahren. </w:t>
      </w:r>
    </w:p>
    <w:p w:rsidR="007868F0" w:rsidRDefault="000A7EB9" w:rsidP="007868F0">
      <w:r>
        <w:t xml:space="preserve">Die zusätzliche Einführung des TSB Verfahrens </w:t>
      </w:r>
      <w:r w:rsidR="00D225A6">
        <w:t>zu einem leichten Sinken der durch</w:t>
      </w:r>
      <w:r>
        <w:t xml:space="preserve">schnittlichen Prognosegenauigkeit. </w:t>
      </w:r>
      <w:r w:rsidR="007868F0">
        <w:t>Die durchschnittliche Prognosegenauigkeit des Verfahrens TSB ist dagegen insgesamt höher.</w:t>
      </w:r>
      <w:bookmarkStart w:id="0" w:name="_GoBack"/>
      <w:bookmarkEnd w:id="0"/>
    </w:p>
    <w:sectPr w:rsidR="007868F0">
      <w:pgSz w:w="11906" w:h="16838"/>
      <w:pgMar w:top="1417" w:right="1417" w:bottom="1134"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F7936FC"/>
    <w:multiLevelType w:val="hybridMultilevel"/>
    <w:tmpl w:val="73F62542"/>
    <w:lvl w:ilvl="0" w:tplc="F9BAE0FA">
      <w:start w:val="22"/>
      <w:numFmt w:val="bullet"/>
      <w:lvlText w:val="-"/>
      <w:lvlJc w:val="left"/>
      <w:pPr>
        <w:ind w:left="720" w:hanging="360"/>
      </w:pPr>
      <w:rPr>
        <w:rFonts w:ascii="Calibri" w:eastAsiaTheme="minorHAnsi" w:hAnsi="Calibri" w:cstheme="minorBidi"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 w15:restartNumberingAfterBreak="0">
    <w:nsid w:val="1DF623D0"/>
    <w:multiLevelType w:val="hybridMultilevel"/>
    <w:tmpl w:val="56661280"/>
    <w:lvl w:ilvl="0" w:tplc="B11AE686">
      <w:start w:val="4"/>
      <w:numFmt w:val="bullet"/>
      <w:lvlText w:val=""/>
      <w:lvlJc w:val="left"/>
      <w:pPr>
        <w:ind w:left="720" w:hanging="360"/>
      </w:pPr>
      <w:rPr>
        <w:rFonts w:ascii="Wingdings" w:eastAsiaTheme="minorHAnsi" w:hAnsi="Wingdings" w:cstheme="minorBidi"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 w15:restartNumberingAfterBreak="0">
    <w:nsid w:val="20C26191"/>
    <w:multiLevelType w:val="hybridMultilevel"/>
    <w:tmpl w:val="B296CD18"/>
    <w:lvl w:ilvl="0" w:tplc="547A65EE">
      <w:numFmt w:val="bullet"/>
      <w:lvlText w:val="-"/>
      <w:lvlJc w:val="left"/>
      <w:pPr>
        <w:ind w:left="720" w:hanging="360"/>
      </w:pPr>
      <w:rPr>
        <w:rFonts w:ascii="Calibri" w:eastAsiaTheme="minorHAnsi" w:hAnsi="Calibri" w:cs="Calibri"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 w15:restartNumberingAfterBreak="0">
    <w:nsid w:val="64E43C51"/>
    <w:multiLevelType w:val="hybridMultilevel"/>
    <w:tmpl w:val="8A7075B4"/>
    <w:lvl w:ilvl="0" w:tplc="CD585F62">
      <w:start w:val="4"/>
      <w:numFmt w:val="bullet"/>
      <w:lvlText w:val=""/>
      <w:lvlJc w:val="left"/>
      <w:pPr>
        <w:ind w:left="720" w:hanging="360"/>
      </w:pPr>
      <w:rPr>
        <w:rFonts w:ascii="Wingdings" w:eastAsiaTheme="minorHAnsi" w:hAnsi="Wingdings" w:cstheme="minorBidi"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num w:numId="1">
    <w:abstractNumId w:val="0"/>
  </w:num>
  <w:num w:numId="2">
    <w:abstractNumId w:val="3"/>
  </w:num>
  <w:num w:numId="3">
    <w:abstractNumId w:val="1"/>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27A5A"/>
    <w:rsid w:val="000A7EB9"/>
    <w:rsid w:val="00327A5A"/>
    <w:rsid w:val="00371CC0"/>
    <w:rsid w:val="005C7EEB"/>
    <w:rsid w:val="0072744F"/>
    <w:rsid w:val="007868F0"/>
    <w:rsid w:val="00A429C6"/>
    <w:rsid w:val="00B42FB6"/>
    <w:rsid w:val="00BA3464"/>
    <w:rsid w:val="00D225A6"/>
    <w:rsid w:val="00F606CB"/>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9EEBDE2"/>
  <w15:chartTrackingRefBased/>
  <w15:docId w15:val="{12CB37E3-E551-4809-BFC2-909DACDA7CB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de-DE"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Listenabsatz">
    <w:name w:val="List Paragraph"/>
    <w:basedOn w:val="Standard"/>
    <w:uiPriority w:val="34"/>
    <w:qFormat/>
    <w:rsid w:val="00327A5A"/>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09238715">
      <w:bodyDiv w:val="1"/>
      <w:marLeft w:val="0"/>
      <w:marRight w:val="0"/>
      <w:marTop w:val="0"/>
      <w:marBottom w:val="0"/>
      <w:divBdr>
        <w:top w:val="none" w:sz="0" w:space="0" w:color="auto"/>
        <w:left w:val="none" w:sz="0" w:space="0" w:color="auto"/>
        <w:bottom w:val="none" w:sz="0" w:space="0" w:color="auto"/>
        <w:right w:val="none" w:sz="0" w:space="0" w:color="auto"/>
      </w:divBdr>
    </w:div>
    <w:div w:id="425464799">
      <w:bodyDiv w:val="1"/>
      <w:marLeft w:val="0"/>
      <w:marRight w:val="0"/>
      <w:marTop w:val="0"/>
      <w:marBottom w:val="0"/>
      <w:divBdr>
        <w:top w:val="none" w:sz="0" w:space="0" w:color="auto"/>
        <w:left w:val="none" w:sz="0" w:space="0" w:color="auto"/>
        <w:bottom w:val="none" w:sz="0" w:space="0" w:color="auto"/>
        <w:right w:val="none" w:sz="0" w:space="0" w:color="auto"/>
      </w:divBdr>
    </w:div>
    <w:div w:id="1494756418">
      <w:bodyDiv w:val="1"/>
      <w:marLeft w:val="0"/>
      <w:marRight w:val="0"/>
      <w:marTop w:val="0"/>
      <w:marBottom w:val="0"/>
      <w:divBdr>
        <w:top w:val="none" w:sz="0" w:space="0" w:color="auto"/>
        <w:left w:val="none" w:sz="0" w:space="0" w:color="auto"/>
        <w:bottom w:val="none" w:sz="0" w:space="0" w:color="auto"/>
        <w:right w:val="none" w:sz="0" w:space="0" w:color="auto"/>
      </w:divBdr>
    </w:div>
    <w:div w:id="1531602846">
      <w:bodyDiv w:val="1"/>
      <w:marLeft w:val="0"/>
      <w:marRight w:val="0"/>
      <w:marTop w:val="0"/>
      <w:marBottom w:val="0"/>
      <w:divBdr>
        <w:top w:val="none" w:sz="0" w:space="0" w:color="auto"/>
        <w:left w:val="none" w:sz="0" w:space="0" w:color="auto"/>
        <w:bottom w:val="none" w:sz="0" w:space="0" w:color="auto"/>
        <w:right w:val="none" w:sz="0" w:space="0" w:color="auto"/>
      </w:divBdr>
    </w:div>
    <w:div w:id="1536238930">
      <w:bodyDiv w:val="1"/>
      <w:marLeft w:val="0"/>
      <w:marRight w:val="0"/>
      <w:marTop w:val="0"/>
      <w:marBottom w:val="0"/>
      <w:divBdr>
        <w:top w:val="none" w:sz="0" w:space="0" w:color="auto"/>
        <w:left w:val="none" w:sz="0" w:space="0" w:color="auto"/>
        <w:bottom w:val="none" w:sz="0" w:space="0" w:color="auto"/>
        <w:right w:val="none" w:sz="0" w:space="0" w:color="auto"/>
      </w:divBdr>
    </w:div>
    <w:div w:id="2000422157">
      <w:bodyDiv w:val="1"/>
      <w:marLeft w:val="0"/>
      <w:marRight w:val="0"/>
      <w:marTop w:val="0"/>
      <w:marBottom w:val="0"/>
      <w:divBdr>
        <w:top w:val="none" w:sz="0" w:space="0" w:color="auto"/>
        <w:left w:val="none" w:sz="0" w:space="0" w:color="auto"/>
        <w:bottom w:val="none" w:sz="0" w:space="0" w:color="auto"/>
        <w:right w:val="none" w:sz="0" w:space="0" w:color="auto"/>
      </w:divBdr>
    </w:div>
    <w:div w:id="2067992539">
      <w:bodyDiv w:val="1"/>
      <w:marLeft w:val="0"/>
      <w:marRight w:val="0"/>
      <w:marTop w:val="0"/>
      <w:marBottom w:val="0"/>
      <w:divBdr>
        <w:top w:val="none" w:sz="0" w:space="0" w:color="auto"/>
        <w:left w:val="none" w:sz="0" w:space="0" w:color="auto"/>
        <w:bottom w:val="none" w:sz="0" w:space="0" w:color="auto"/>
        <w:right w:val="none" w:sz="0" w:space="0" w:color="auto"/>
      </w:divBdr>
    </w:div>
    <w:div w:id="21286194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4.emf"/><Relationship Id="rId3" Type="http://schemas.openxmlformats.org/officeDocument/2006/relationships/settings" Target="settings.xml"/><Relationship Id="rId7" Type="http://schemas.openxmlformats.org/officeDocument/2006/relationships/image" Target="media/image3.emf"/><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2.emf"/><Relationship Id="rId11" Type="http://schemas.openxmlformats.org/officeDocument/2006/relationships/theme" Target="theme/theme1.xml"/><Relationship Id="rId5" Type="http://schemas.openxmlformats.org/officeDocument/2006/relationships/image" Target="media/image1.emf"/><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image" Target="media/image5.png"/></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3</Pages>
  <Words>485</Words>
  <Characters>3057</Characters>
  <Application>Microsoft Office Word</Application>
  <DocSecurity>0</DocSecurity>
  <Lines>25</Lines>
  <Paragraphs>7</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3535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Martina Klaas</dc:creator>
  <cp:keywords/>
  <dc:description/>
  <cp:lastModifiedBy>Martina Klaas</cp:lastModifiedBy>
  <cp:revision>2</cp:revision>
  <dcterms:created xsi:type="dcterms:W3CDTF">2018-02-14T10:24:00Z</dcterms:created>
  <dcterms:modified xsi:type="dcterms:W3CDTF">2018-02-15T09:23:00Z</dcterms:modified>
</cp:coreProperties>
</file>