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68B6" w:rsidRPr="00F549EE" w:rsidRDefault="00AA68B6" w:rsidP="00AA68B6">
      <w:pPr>
        <w:rPr>
          <w:b/>
          <w:sz w:val="24"/>
          <w:szCs w:val="24"/>
          <w:u w:val="single"/>
        </w:rPr>
      </w:pPr>
      <w:r w:rsidRPr="00F549EE">
        <w:rPr>
          <w:b/>
          <w:sz w:val="24"/>
          <w:szCs w:val="24"/>
          <w:u w:val="single"/>
        </w:rPr>
        <w:t>Probleme bei bestehenden Gütemaßen:</w:t>
      </w:r>
    </w:p>
    <w:p w:rsidR="00AA68B6" w:rsidRDefault="00AA68B6" w:rsidP="00AA68B6">
      <w:pPr>
        <w:pStyle w:val="Listenabsatz"/>
        <w:numPr>
          <w:ilvl w:val="0"/>
          <w:numId w:val="1"/>
        </w:numPr>
      </w:pPr>
      <w:r>
        <w:t>Methodische Schwächen:</w:t>
      </w:r>
    </w:p>
    <w:p w:rsidR="00AA68B6" w:rsidRDefault="00AA68B6" w:rsidP="00AA68B6">
      <w:pPr>
        <w:pStyle w:val="Listenabsatz"/>
        <w:numPr>
          <w:ilvl w:val="1"/>
          <w:numId w:val="1"/>
        </w:numPr>
      </w:pPr>
      <w:r>
        <w:t xml:space="preserve">nummerische </w:t>
      </w:r>
      <w:proofErr w:type="spellStart"/>
      <w:r>
        <w:t>Undefiniertheit</w:t>
      </w:r>
      <w:proofErr w:type="spellEnd"/>
      <w:r>
        <w:t xml:space="preserve"> für Nullverbräuche (MPE, MAPE, MRE)</w:t>
      </w:r>
    </w:p>
    <w:p w:rsidR="00AA68B6" w:rsidRDefault="00AA68B6" w:rsidP="00AA68B6">
      <w:pPr>
        <w:pStyle w:val="Listenabsatz"/>
        <w:numPr>
          <w:ilvl w:val="1"/>
          <w:numId w:val="1"/>
        </w:numPr>
      </w:pPr>
      <w:r>
        <w:t xml:space="preserve">hohe </w:t>
      </w:r>
      <w:proofErr w:type="spellStart"/>
      <w:r>
        <w:t>Ausreißersensibilität</w:t>
      </w:r>
      <w:proofErr w:type="spellEnd"/>
      <w:r>
        <w:t xml:space="preserve"> (es werden überwiegend mittelwertbasierte Maße verwendet)</w:t>
      </w:r>
    </w:p>
    <w:p w:rsidR="00DD6520" w:rsidRDefault="00AA68B6" w:rsidP="00DD6520">
      <w:pPr>
        <w:pStyle w:val="Listenabsatz"/>
        <w:numPr>
          <w:ilvl w:val="1"/>
          <w:numId w:val="1"/>
        </w:numPr>
      </w:pPr>
      <w:r>
        <w:t xml:space="preserve">fehlender Grenzwert zur Unterscheidung zwischen guter und schlechter Prognose. </w:t>
      </w:r>
    </w:p>
    <w:p w:rsidR="00AA68B6" w:rsidRDefault="00AA68B6" w:rsidP="00AA68B6">
      <w:pPr>
        <w:pStyle w:val="Listenabsatz"/>
        <w:numPr>
          <w:ilvl w:val="0"/>
          <w:numId w:val="1"/>
        </w:numPr>
      </w:pPr>
      <w:r>
        <w:t>Vergleich von Zeitreihen unterschiedlicher Länge aufgrund abweichender Initialisierungsperioden.(</w:t>
      </w:r>
      <w:r>
        <w:t xml:space="preserve"> </w:t>
      </w:r>
      <w:proofErr w:type="spellStart"/>
      <w:r>
        <w:t>Croston</w:t>
      </w:r>
      <w:proofErr w:type="spellEnd"/>
      <w:r>
        <w:t>:</w:t>
      </w:r>
      <w:r>
        <w:t xml:space="preserve"> 1 Periode, Saisonfaktoren</w:t>
      </w:r>
      <w:r>
        <w:t>:</w:t>
      </w:r>
      <w:r>
        <w:t xml:space="preserve"> 2fache Saisonlänge (</w:t>
      </w:r>
      <w:proofErr w:type="spellStart"/>
      <w:r>
        <w:t>idR</w:t>
      </w:r>
      <w:proofErr w:type="spellEnd"/>
      <w:r>
        <w:t>. 24 Perioden))</w:t>
      </w:r>
    </w:p>
    <w:p w:rsidR="00AA68B6" w:rsidRDefault="00AA68B6" w:rsidP="00AA68B6">
      <w:pPr>
        <w:pStyle w:val="Listenabsatz"/>
        <w:numPr>
          <w:ilvl w:val="0"/>
          <w:numId w:val="1"/>
        </w:numPr>
      </w:pPr>
      <w:r>
        <w:t xml:space="preserve">Implizite Annahme einer Normalverteilung der Prognosefehler ist aufgrund von teilweise nur 12 </w:t>
      </w:r>
      <w:proofErr w:type="gramStart"/>
      <w:r>
        <w:t>Ex-Post-Periode</w:t>
      </w:r>
      <w:proofErr w:type="gramEnd"/>
      <w:r>
        <w:t xml:space="preserve"> fraglich.</w:t>
      </w:r>
    </w:p>
    <w:p w:rsidR="00AA68B6" w:rsidRDefault="00AA68B6" w:rsidP="00AA68B6">
      <w:pPr>
        <w:ind w:left="360"/>
      </w:pPr>
    </w:p>
    <w:p w:rsidR="00AA68B6" w:rsidRDefault="00AA68B6" w:rsidP="00AA68B6">
      <w:r>
        <w:t>Prüfung folgender Tr</w:t>
      </w:r>
      <w:r>
        <w:t>ackingsignale/</w:t>
      </w:r>
      <w:proofErr w:type="spellStart"/>
      <w:r>
        <w:t>Gütemaße</w:t>
      </w:r>
      <w:proofErr w:type="spellEnd"/>
      <w:r>
        <w:t xml:space="preserve"> bezüglich ihrer Eignung</w:t>
      </w:r>
      <w:r>
        <w:t xml:space="preserve"> </w:t>
      </w:r>
      <w:r>
        <w:t xml:space="preserve">im Sinne einer robusten </w:t>
      </w:r>
      <w:r>
        <w:t>Verfahrensbeurteilung</w:t>
      </w:r>
      <w:r>
        <w:t>:</w:t>
      </w:r>
    </w:p>
    <w:p w:rsidR="00AA68B6" w:rsidRDefault="00AA68B6" w:rsidP="00AA68B6"/>
    <w:p w:rsidR="00AA68B6" w:rsidRPr="00F549EE" w:rsidRDefault="00AA68B6" w:rsidP="00AA68B6">
      <w:pPr>
        <w:rPr>
          <w:b/>
          <w:sz w:val="24"/>
          <w:szCs w:val="24"/>
          <w:u w:val="single"/>
        </w:rPr>
      </w:pPr>
      <w:r w:rsidRPr="00F549EE">
        <w:rPr>
          <w:b/>
          <w:sz w:val="24"/>
          <w:szCs w:val="24"/>
          <w:u w:val="single"/>
        </w:rPr>
        <w:t>(1) Kennzahlen zur Prognosegüte</w:t>
      </w:r>
    </w:p>
    <w:p w:rsidR="00AA68B6" w:rsidRPr="00962FD6" w:rsidRDefault="00AA68B6" w:rsidP="00AA68B6">
      <w:pPr>
        <w:rPr>
          <w:b/>
          <w:u w:val="single"/>
        </w:rPr>
      </w:pPr>
      <w:r w:rsidRPr="00962FD6">
        <w:rPr>
          <w:b/>
          <w:u w:val="single"/>
        </w:rPr>
        <w:t>a) Benchmark-bezogene Maße</w:t>
      </w:r>
    </w:p>
    <w:p w:rsidR="00AA68B6" w:rsidRDefault="00AA68B6" w:rsidP="00AA68B6">
      <w:r>
        <w:t xml:space="preserve">Benchmark-basierte </w:t>
      </w:r>
      <w:proofErr w:type="spellStart"/>
      <w:r>
        <w:t>Gütemaße</w:t>
      </w:r>
      <w:proofErr w:type="spellEnd"/>
      <w:r>
        <w:t xml:space="preserve"> lösen das Problem der mangelnden Vergleichbarkeit von Zeitreihen unterschiedlicher Länge. Sie normieren die auftr</w:t>
      </w:r>
      <w:r w:rsidR="00554C9B">
        <w:t xml:space="preserve">etenden Prognosefehler auf die Fehler eines </w:t>
      </w:r>
      <w:proofErr w:type="spellStart"/>
      <w:r w:rsidR="00554C9B">
        <w:t>Benchmarkverfahrens</w:t>
      </w:r>
      <w:proofErr w:type="spellEnd"/>
      <w:r w:rsidR="00554C9B">
        <w:t>. Beispiel TUK.</w:t>
      </w:r>
    </w:p>
    <w:p w:rsidR="00554C9B" w:rsidRDefault="00554C9B" w:rsidP="00AA68B6">
      <w:r>
        <w:t xml:space="preserve">In der Literatur ist </w:t>
      </w:r>
      <w:proofErr w:type="spellStart"/>
      <w:r>
        <w:t>Benchmarkverfahren</w:t>
      </w:r>
      <w:proofErr w:type="spellEnd"/>
      <w:r>
        <w:t xml:space="preserve"> häufig die sog. naive Prognose (auch </w:t>
      </w:r>
      <w:proofErr w:type="spellStart"/>
      <w:r>
        <w:t>random</w:t>
      </w:r>
      <w:proofErr w:type="spellEnd"/>
      <w:r>
        <w:t xml:space="preserve"> </w:t>
      </w:r>
      <w:proofErr w:type="spellStart"/>
      <w:r>
        <w:t>walk</w:t>
      </w:r>
      <w:proofErr w:type="spellEnd"/>
      <w:r>
        <w:t xml:space="preserve">), d.h. die Fortschreibung des Verbrauchswerts der Vorperiode. Generell kann als </w:t>
      </w:r>
      <w:proofErr w:type="spellStart"/>
      <w:r>
        <w:t>Benchmarkverfahren</w:t>
      </w:r>
      <w:proofErr w:type="spellEnd"/>
      <w:r>
        <w:t xml:space="preserve"> aber jedes „geeignete“ Prognoseverfahren gewählt werden, indem der Prognosefehler des zu bewertenden Verfahrens zu dem Fehler des </w:t>
      </w:r>
      <w:proofErr w:type="spellStart"/>
      <w:r>
        <w:t>Benchmarkverfahrens</w:t>
      </w:r>
      <w:proofErr w:type="spellEnd"/>
      <w:r>
        <w:t xml:space="preserve"> in Beziehung gesetzt wird.</w:t>
      </w:r>
    </w:p>
    <w:p w:rsidR="00554C9B" w:rsidRDefault="00554C9B" w:rsidP="00AA68B6">
      <w:r>
        <w:t xml:space="preserve">BSP:    </w:t>
      </w:r>
      <m:oMath>
        <m:f>
          <m:fPr>
            <m:ctrlPr>
              <w:rPr>
                <w:rFonts w:ascii="Cambria Math" w:hAnsi="Cambria Math"/>
                <w:i/>
              </w:rPr>
            </m:ctrlPr>
          </m:fPr>
          <m:num>
            <m:r>
              <w:rPr>
                <w:rFonts w:ascii="Cambria Math" w:hAnsi="Cambria Math"/>
              </w:rPr>
              <m:t>MAE</m:t>
            </m:r>
          </m:num>
          <m:den>
            <m:sSub>
              <m:sSubPr>
                <m:ctrlPr>
                  <w:rPr>
                    <w:rFonts w:ascii="Cambria Math" w:hAnsi="Cambria Math"/>
                    <w:i/>
                  </w:rPr>
                </m:ctrlPr>
              </m:sSubPr>
              <m:e>
                <m:r>
                  <w:rPr>
                    <w:rFonts w:ascii="Cambria Math" w:hAnsi="Cambria Math"/>
                  </w:rPr>
                  <m:t>MAE</m:t>
                </m:r>
              </m:e>
              <m:sub>
                <m:r>
                  <w:rPr>
                    <w:rFonts w:ascii="Cambria Math" w:hAnsi="Cambria Math"/>
                  </w:rPr>
                  <m:t>Bench</m:t>
                </m:r>
              </m:sub>
            </m:sSub>
          </m:den>
        </m:f>
      </m:oMath>
      <w:r>
        <w:rPr>
          <w:rFonts w:eastAsiaTheme="minorEastAsia"/>
        </w:rPr>
        <w:t xml:space="preserve">         </w:t>
      </w:r>
      <m:oMath>
        <m:f>
          <m:fPr>
            <m:ctrlPr>
              <w:rPr>
                <w:rFonts w:ascii="Cambria Math" w:eastAsiaTheme="minorEastAsia" w:hAnsi="Cambria Math"/>
                <w:i/>
              </w:rPr>
            </m:ctrlPr>
          </m:fPr>
          <m:num>
            <m:r>
              <w:rPr>
                <w:rFonts w:ascii="Cambria Math" w:eastAsiaTheme="minorEastAsia" w:hAnsi="Cambria Math"/>
              </w:rPr>
              <m:t>RMSE</m:t>
            </m:r>
          </m:num>
          <m:den>
            <m:sSub>
              <m:sSubPr>
                <m:ctrlPr>
                  <w:rPr>
                    <w:rFonts w:ascii="Cambria Math" w:eastAsiaTheme="minorEastAsia" w:hAnsi="Cambria Math"/>
                    <w:i/>
                  </w:rPr>
                </m:ctrlPr>
              </m:sSubPr>
              <m:e>
                <m:r>
                  <w:rPr>
                    <w:rFonts w:ascii="Cambria Math" w:eastAsiaTheme="minorEastAsia" w:hAnsi="Cambria Math"/>
                  </w:rPr>
                  <m:t>RMSE</m:t>
                </m:r>
              </m:e>
              <m:sub>
                <m:r>
                  <w:rPr>
                    <w:rFonts w:ascii="Cambria Math" w:eastAsiaTheme="minorEastAsia" w:hAnsi="Cambria Math"/>
                  </w:rPr>
                  <m:t>Bench</m:t>
                </m:r>
              </m:sub>
            </m:sSub>
          </m:den>
        </m:f>
      </m:oMath>
    </w:p>
    <w:p w:rsidR="00554C9B" w:rsidRDefault="00554C9B" w:rsidP="00AA68B6"/>
    <w:p w:rsidR="00554C9B" w:rsidRDefault="00554C9B" w:rsidP="00AA68B6">
      <w:r>
        <w:t xml:space="preserve">Geeignet als </w:t>
      </w:r>
      <w:proofErr w:type="spellStart"/>
      <w:r>
        <w:t>Benchmarkverfahren</w:t>
      </w:r>
      <w:proofErr w:type="spellEnd"/>
      <w:r>
        <w:t xml:space="preserve"> sind vor allem </w:t>
      </w:r>
      <w:proofErr w:type="spellStart"/>
      <w:r>
        <w:t>Extrapolationverfahren</w:t>
      </w:r>
      <w:proofErr w:type="spellEnd"/>
      <w:r>
        <w:t>:</w:t>
      </w:r>
    </w:p>
    <w:p w:rsidR="00554C9B" w:rsidRDefault="00554C9B" w:rsidP="00554C9B">
      <w:pPr>
        <w:pStyle w:val="Listenabsatz"/>
        <w:numPr>
          <w:ilvl w:val="0"/>
          <w:numId w:val="1"/>
        </w:numPr>
        <w:rPr>
          <w:lang w:val="en-US"/>
        </w:rPr>
      </w:pPr>
      <w:r w:rsidRPr="00554C9B">
        <w:rPr>
          <w:lang w:val="en-US"/>
        </w:rPr>
        <w:t>„No-Change“-</w:t>
      </w:r>
      <w:proofErr w:type="spellStart"/>
      <w:r w:rsidRPr="00554C9B">
        <w:rPr>
          <w:lang w:val="en-US"/>
        </w:rPr>
        <w:t>Prognose</w:t>
      </w:r>
      <w:proofErr w:type="spellEnd"/>
      <w:r w:rsidRPr="00554C9B">
        <w:rPr>
          <w:lang w:val="en-US"/>
        </w:rPr>
        <w:t xml:space="preserve"> (</w:t>
      </w:r>
      <w:proofErr w:type="spellStart"/>
      <w:r w:rsidRPr="00554C9B">
        <w:rPr>
          <w:lang w:val="en-US"/>
        </w:rPr>
        <w:t>auch</w:t>
      </w:r>
      <w:proofErr w:type="spellEnd"/>
      <w:r w:rsidRPr="00554C9B">
        <w:rPr>
          <w:lang w:val="en-US"/>
        </w:rPr>
        <w:t xml:space="preserve"> „naive </w:t>
      </w:r>
      <w:proofErr w:type="spellStart"/>
      <w:r w:rsidRPr="00554C9B">
        <w:rPr>
          <w:lang w:val="en-US"/>
        </w:rPr>
        <w:t>Prognose</w:t>
      </w:r>
      <w:proofErr w:type="spellEnd"/>
      <w:r>
        <w:rPr>
          <w:lang w:val="en-US"/>
        </w:rPr>
        <w:t xml:space="preserve"> </w:t>
      </w:r>
      <w:proofErr w:type="spellStart"/>
      <w:r>
        <w:rPr>
          <w:lang w:val="en-US"/>
        </w:rPr>
        <w:t>ohne</w:t>
      </w:r>
      <w:proofErr w:type="spellEnd"/>
      <w:r>
        <w:rPr>
          <w:lang w:val="en-US"/>
        </w:rPr>
        <w:t xml:space="preserve"> Trend</w:t>
      </w:r>
      <w:r w:rsidRPr="00554C9B">
        <w:rPr>
          <w:lang w:val="en-US"/>
        </w:rPr>
        <w:t xml:space="preserve">“, „random walk 1 step“, </w:t>
      </w:r>
      <w:r>
        <w:rPr>
          <w:lang w:val="en-US"/>
        </w:rPr>
        <w:t>“naive1”)</w:t>
      </w:r>
    </w:p>
    <w:p w:rsidR="00BD652D" w:rsidRPr="00BD652D" w:rsidRDefault="00BD652D" w:rsidP="00554C9B">
      <w:pPr>
        <w:pStyle w:val="Listenabsatz"/>
        <w:numPr>
          <w:ilvl w:val="1"/>
          <w:numId w:val="1"/>
        </w:numPr>
        <w:rPr>
          <w:lang w:val="en-US"/>
        </w:rPr>
      </w:pPr>
      <w:proofErr w:type="spellStart"/>
      <w:r>
        <w:rPr>
          <w:lang w:val="en-US"/>
        </w:rPr>
        <w:t>Fortschreibung</w:t>
      </w:r>
      <w:proofErr w:type="spellEnd"/>
      <w:r>
        <w:rPr>
          <w:lang w:val="en-US"/>
        </w:rPr>
        <w:t xml:space="preserve"> des </w:t>
      </w:r>
      <w:proofErr w:type="spellStart"/>
      <w:r>
        <w:rPr>
          <w:lang w:val="en-US"/>
        </w:rPr>
        <w:t>Verbrauchswert</w:t>
      </w:r>
      <w:proofErr w:type="spellEnd"/>
      <w:r>
        <w:rPr>
          <w:lang w:val="en-US"/>
        </w:rPr>
        <w:t xml:space="preserve"> der </w:t>
      </w:r>
      <w:proofErr w:type="spellStart"/>
      <w:r>
        <w:rPr>
          <w:lang w:val="en-US"/>
        </w:rPr>
        <w:t>Vorperiode</w:t>
      </w:r>
      <w:proofErr w:type="spellEnd"/>
    </w:p>
    <w:p w:rsidR="00554C9B" w:rsidRDefault="00BD652D" w:rsidP="00554C9B">
      <w:pPr>
        <w:pStyle w:val="Listenabsatz"/>
        <w:numPr>
          <w:ilvl w:val="1"/>
          <w:numId w:val="1"/>
        </w:numPr>
        <w:rPr>
          <w:lang w:val="en-US"/>
        </w:rPr>
      </w:pPr>
      <m:oMath>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t</m:t>
            </m:r>
          </m:sub>
        </m:sSub>
      </m:oMath>
    </w:p>
    <w:p w:rsidR="00554C9B" w:rsidRPr="00554C9B" w:rsidRDefault="00554C9B" w:rsidP="00554C9B">
      <w:pPr>
        <w:pStyle w:val="Listenabsatz"/>
        <w:numPr>
          <w:ilvl w:val="1"/>
          <w:numId w:val="1"/>
        </w:numPr>
      </w:pPr>
      <w:r w:rsidRPr="00554C9B">
        <w:t>Entspricht einem gleitenden Mittelwertverfahren mit n= 1.</w:t>
      </w:r>
    </w:p>
    <w:p w:rsidR="00554C9B" w:rsidRDefault="00BD652D" w:rsidP="00554C9B">
      <w:pPr>
        <w:pStyle w:val="Listenabsatz"/>
        <w:numPr>
          <w:ilvl w:val="0"/>
          <w:numId w:val="1"/>
        </w:numPr>
      </w:pPr>
      <w:r>
        <w:t>„Last-Change“-Prognose (auch „naive Prognose mit Trend“, „same-change“-Prognose, „naive2“, „</w:t>
      </w:r>
      <w:proofErr w:type="spellStart"/>
      <w:r>
        <w:t>random</w:t>
      </w:r>
      <w:proofErr w:type="spellEnd"/>
      <w:r>
        <w:t xml:space="preserve"> </w:t>
      </w:r>
      <w:proofErr w:type="spellStart"/>
      <w:r>
        <w:t>walk</w:t>
      </w:r>
      <w:proofErr w:type="spellEnd"/>
      <w:r>
        <w:t xml:space="preserve"> mit </w:t>
      </w:r>
      <w:proofErr w:type="spellStart"/>
      <w:r>
        <w:t>drift</w:t>
      </w:r>
      <w:proofErr w:type="spellEnd"/>
      <w:r>
        <w:t>“ )</w:t>
      </w:r>
    </w:p>
    <w:p w:rsidR="00BD652D" w:rsidRDefault="00BD652D" w:rsidP="00BD652D">
      <w:pPr>
        <w:pStyle w:val="Listenabsatz"/>
        <w:numPr>
          <w:ilvl w:val="1"/>
          <w:numId w:val="1"/>
        </w:numPr>
      </w:pPr>
      <w:r>
        <w:t xml:space="preserve">Zusätzliche Wiederholung der letzten Veränderung </w:t>
      </w:r>
    </w:p>
    <w:p w:rsidR="00BD652D" w:rsidRDefault="00BD652D" w:rsidP="00BD652D">
      <w:pPr>
        <w:pStyle w:val="Listenabsatz"/>
        <w:numPr>
          <w:ilvl w:val="1"/>
          <w:numId w:val="1"/>
        </w:numPr>
      </w:pPr>
      <w:r>
        <w:t>Absolute oder relative Veränderung</w:t>
      </w:r>
    </w:p>
    <w:p w:rsidR="00BD652D" w:rsidRPr="00BD652D" w:rsidRDefault="00BD652D" w:rsidP="00BD652D">
      <w:pPr>
        <w:pStyle w:val="Listenabsatz"/>
        <w:numPr>
          <w:ilvl w:val="1"/>
          <w:numId w:val="1"/>
        </w:numPr>
      </w:pPr>
      <m:oMath>
        <m:sSub>
          <m:sSubPr>
            <m:ctrlPr>
              <w:rPr>
                <w:rFonts w:ascii="Cambria Math" w:hAnsi="Cambria Math"/>
                <w:i/>
              </w:rPr>
            </m:ctrlPr>
          </m:sSubPr>
          <m:e>
            <m:r>
              <w:rPr>
                <w:rFonts w:ascii="Cambria Math" w:hAnsi="Cambria Math"/>
              </w:rPr>
              <m:t>X</m:t>
            </m:r>
          </m:e>
          <m:sub>
            <m:r>
              <w:rPr>
                <w:rFonts w:ascii="Cambria Math" w:hAnsi="Cambria Math"/>
              </w:rPr>
              <m:t>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t-1))</m:t>
            </m:r>
          </m:sub>
        </m:sSub>
      </m:oMath>
      <w:r>
        <w:rPr>
          <w:rFonts w:eastAsiaTheme="minorEastAsia"/>
        </w:rPr>
        <w:t xml:space="preserve">  oder </w:t>
      </w:r>
      <m:oMath>
        <m:sSub>
          <m:sSubPr>
            <m:ctrlPr>
              <w:rPr>
                <w:rFonts w:ascii="Cambria Math" w:hAnsi="Cambria Math"/>
                <w:i/>
              </w:rPr>
            </m:ctrlPr>
          </m:sSubPr>
          <m:e>
            <m:r>
              <w:rPr>
                <w:rFonts w:ascii="Cambria Math" w:hAnsi="Cambria Math"/>
              </w:rPr>
              <m:t>X</m:t>
            </m:r>
          </m:e>
          <m:sub>
            <m:r>
              <w:rPr>
                <w:rFonts w:ascii="Cambria Math" w:hAnsi="Cambria Math"/>
              </w:rPr>
              <m:t>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t-1)</m:t>
            </m:r>
          </m:sub>
        </m:sSub>
        <m:r>
          <w:rPr>
            <w:rFonts w:ascii="Cambria Math" w:hAnsi="Cambria Math"/>
          </w:rPr>
          <m:t>)</m:t>
        </m:r>
      </m:oMath>
      <w:r>
        <w:rPr>
          <w:rFonts w:eastAsiaTheme="minorEastAsia"/>
        </w:rPr>
        <w:t xml:space="preserve">  </w:t>
      </w:r>
    </w:p>
    <w:p w:rsidR="00554C9B" w:rsidRDefault="00BD652D" w:rsidP="00BD652D">
      <w:pPr>
        <w:pStyle w:val="Listenabsatz"/>
        <w:numPr>
          <w:ilvl w:val="0"/>
          <w:numId w:val="1"/>
        </w:numPr>
      </w:pPr>
      <w:r>
        <w:t>„Average-Change“-Prognose (absolut oder relativ)</w:t>
      </w:r>
    </w:p>
    <w:p w:rsidR="00BD652D" w:rsidRDefault="00BD652D" w:rsidP="00BD652D">
      <w:pPr>
        <w:pStyle w:val="Listenabsatz"/>
        <w:numPr>
          <w:ilvl w:val="1"/>
          <w:numId w:val="1"/>
        </w:numPr>
      </w:pPr>
      <w:proofErr w:type="spellStart"/>
      <w:r>
        <w:t>Artihm</w:t>
      </w:r>
      <w:proofErr w:type="spellEnd"/>
      <w:r>
        <w:t>. Mittel der letzten Perioden bilden, um einen Näherungswert für das Trendwachstum zu erhalten</w:t>
      </w:r>
    </w:p>
    <w:p w:rsidR="00BD652D" w:rsidRDefault="00BD652D" w:rsidP="00BD652D">
      <w:pPr>
        <w:pStyle w:val="Listenabsatz"/>
        <w:numPr>
          <w:ilvl w:val="0"/>
          <w:numId w:val="1"/>
        </w:numPr>
      </w:pPr>
      <w:r>
        <w:t>„Naive Prognose mit Saisonindex“</w:t>
      </w:r>
    </w:p>
    <w:p w:rsidR="00BD652D" w:rsidRDefault="00BD652D" w:rsidP="00BD652D">
      <w:pPr>
        <w:pStyle w:val="Listenabsatz"/>
        <w:numPr>
          <w:ilvl w:val="0"/>
          <w:numId w:val="1"/>
        </w:numPr>
      </w:pPr>
      <w:r>
        <w:t xml:space="preserve">Mittelwert aller Verbrauchswerte als </w:t>
      </w:r>
      <w:proofErr w:type="spellStart"/>
      <w:r>
        <w:t>Benchmarkwert</w:t>
      </w:r>
      <w:proofErr w:type="spellEnd"/>
    </w:p>
    <w:p w:rsidR="00BD652D" w:rsidRDefault="00267D73" w:rsidP="00267D73">
      <w:r>
        <w:lastRenderedPageBreak/>
        <w:t xml:space="preserve">Zu prüfen wäre hier welches </w:t>
      </w:r>
      <w:proofErr w:type="spellStart"/>
      <w:r>
        <w:t>Benchmarkverfahren</w:t>
      </w:r>
      <w:proofErr w:type="spellEnd"/>
      <w:r>
        <w:t xml:space="preserve"> generell am besten geeignet ist, bzw. ob die Verwendung von verschiedenen </w:t>
      </w:r>
      <w:proofErr w:type="spellStart"/>
      <w:r>
        <w:t>Benchmarkverfahren</w:t>
      </w:r>
      <w:proofErr w:type="spellEnd"/>
      <w:r>
        <w:t xml:space="preserve"> abhängig von der Verbrauchsreihenentwicklung (Konstant, Konstant mit Trend, Trend, Trend mit Saison …) vorteilhafte für die Bewertung ist. </w:t>
      </w:r>
    </w:p>
    <w:p w:rsidR="00267D73" w:rsidRDefault="00267D73" w:rsidP="00267D73">
      <w:proofErr w:type="spellStart"/>
      <w:r>
        <w:t>Benchmarkbasierte</w:t>
      </w:r>
      <w:proofErr w:type="spellEnd"/>
      <w:r>
        <w:t xml:space="preserve"> Kennzahlen:</w:t>
      </w:r>
    </w:p>
    <w:p w:rsidR="00267D73" w:rsidRDefault="00267D73" w:rsidP="00267D73">
      <w:pPr>
        <w:pStyle w:val="Listenabsatz"/>
        <w:numPr>
          <w:ilvl w:val="0"/>
          <w:numId w:val="1"/>
        </w:numPr>
      </w:pPr>
      <w:r>
        <w:t xml:space="preserve">Vorhandene Kennzahlen normiert auf </w:t>
      </w:r>
      <w:proofErr w:type="spellStart"/>
      <w:r>
        <w:t>Benchmarkverfahren</w:t>
      </w:r>
      <w:proofErr w:type="spellEnd"/>
    </w:p>
    <w:p w:rsidR="00267D73" w:rsidRDefault="00267D73" w:rsidP="00267D73">
      <w:pPr>
        <w:pStyle w:val="Listenabsatz"/>
      </w:pPr>
      <w:r>
        <w:t xml:space="preserve">BSP:    </w:t>
      </w:r>
      <m:oMath>
        <m:f>
          <m:fPr>
            <m:ctrlPr>
              <w:rPr>
                <w:rFonts w:ascii="Cambria Math" w:hAnsi="Cambria Math"/>
                <w:i/>
              </w:rPr>
            </m:ctrlPr>
          </m:fPr>
          <m:num>
            <m:r>
              <w:rPr>
                <w:rFonts w:ascii="Cambria Math" w:hAnsi="Cambria Math"/>
              </w:rPr>
              <m:t>MAE</m:t>
            </m:r>
          </m:num>
          <m:den>
            <m:sSub>
              <m:sSubPr>
                <m:ctrlPr>
                  <w:rPr>
                    <w:rFonts w:ascii="Cambria Math" w:hAnsi="Cambria Math"/>
                    <w:i/>
                  </w:rPr>
                </m:ctrlPr>
              </m:sSubPr>
              <m:e>
                <m:r>
                  <w:rPr>
                    <w:rFonts w:ascii="Cambria Math" w:hAnsi="Cambria Math"/>
                  </w:rPr>
                  <m:t>MAE</m:t>
                </m:r>
              </m:e>
              <m:sub>
                <m:r>
                  <w:rPr>
                    <w:rFonts w:ascii="Cambria Math" w:hAnsi="Cambria Math"/>
                  </w:rPr>
                  <m:t>Bench</m:t>
                </m:r>
              </m:sub>
            </m:sSub>
          </m:den>
        </m:f>
      </m:oMath>
      <w:r w:rsidRPr="00267D73">
        <w:rPr>
          <w:rFonts w:eastAsiaTheme="minorEastAsia"/>
        </w:rPr>
        <w:t xml:space="preserve">         </w:t>
      </w:r>
      <m:oMath>
        <m:f>
          <m:fPr>
            <m:ctrlPr>
              <w:rPr>
                <w:rFonts w:ascii="Cambria Math" w:eastAsiaTheme="minorEastAsia" w:hAnsi="Cambria Math"/>
                <w:i/>
              </w:rPr>
            </m:ctrlPr>
          </m:fPr>
          <m:num>
            <m:r>
              <w:rPr>
                <w:rFonts w:ascii="Cambria Math" w:eastAsiaTheme="minorEastAsia" w:hAnsi="Cambria Math"/>
              </w:rPr>
              <m:t>RMSE</m:t>
            </m:r>
          </m:num>
          <m:den>
            <m:sSub>
              <m:sSubPr>
                <m:ctrlPr>
                  <w:rPr>
                    <w:rFonts w:ascii="Cambria Math" w:eastAsiaTheme="minorEastAsia" w:hAnsi="Cambria Math"/>
                    <w:i/>
                  </w:rPr>
                </m:ctrlPr>
              </m:sSubPr>
              <m:e>
                <m:r>
                  <w:rPr>
                    <w:rFonts w:ascii="Cambria Math" w:eastAsiaTheme="minorEastAsia" w:hAnsi="Cambria Math"/>
                  </w:rPr>
                  <m:t>RMSE</m:t>
                </m:r>
              </m:e>
              <m:sub>
                <m:r>
                  <w:rPr>
                    <w:rFonts w:ascii="Cambria Math" w:eastAsiaTheme="minorEastAsia" w:hAnsi="Cambria Math"/>
                  </w:rPr>
                  <m:t>Bench</m:t>
                </m:r>
              </m:sub>
            </m:sSub>
          </m:den>
        </m:f>
      </m:oMath>
    </w:p>
    <w:p w:rsidR="00267D73" w:rsidRDefault="00267D73" w:rsidP="00267D73">
      <w:pPr>
        <w:pStyle w:val="Listenabsatz"/>
        <w:numPr>
          <w:ilvl w:val="0"/>
          <w:numId w:val="1"/>
        </w:numPr>
      </w:pPr>
      <w:proofErr w:type="spellStart"/>
      <w:r>
        <w:t>Percent</w:t>
      </w:r>
      <w:proofErr w:type="spellEnd"/>
      <w:r>
        <w:t xml:space="preserve"> </w:t>
      </w:r>
      <w:proofErr w:type="spellStart"/>
      <w:r>
        <w:t>Better</w:t>
      </w:r>
      <w:proofErr w:type="spellEnd"/>
      <w:r>
        <w:t xml:space="preserve"> (PB): </w:t>
      </w:r>
      <w:r w:rsidRPr="00820A1D">
        <w:t>Wie oft ist Prognoseverfah</w:t>
      </w:r>
      <w:r>
        <w:t>r</w:t>
      </w:r>
      <w:r w:rsidRPr="00820A1D">
        <w:t>en (A) besser als</w:t>
      </w:r>
      <w:r>
        <w:t xml:space="preserve"> </w:t>
      </w:r>
      <w:proofErr w:type="gramStart"/>
      <w:r>
        <w:t xml:space="preserve">das </w:t>
      </w:r>
      <w:r w:rsidRPr="00820A1D">
        <w:t xml:space="preserve"> </w:t>
      </w:r>
      <w:proofErr w:type="spellStart"/>
      <w:r w:rsidRPr="00820A1D">
        <w:t>Benchma</w:t>
      </w:r>
      <w:r>
        <w:t>r</w:t>
      </w:r>
      <w:r w:rsidRPr="00820A1D">
        <w:t>kverfahren</w:t>
      </w:r>
      <w:proofErr w:type="spellEnd"/>
      <w:proofErr w:type="gramEnd"/>
      <w:r w:rsidRPr="00820A1D">
        <w:t xml:space="preserve"> (B)?</w:t>
      </w:r>
    </w:p>
    <w:p w:rsidR="00267D73" w:rsidRDefault="00267D73" w:rsidP="00267D73">
      <w:pPr>
        <w:ind w:left="360" w:firstLine="348"/>
        <w:rPr>
          <w:rFonts w:eastAsiaTheme="minorEastAsia"/>
        </w:rPr>
      </w:pPr>
      <m:oMath>
        <m:r>
          <w:rPr>
            <w:rFonts w:ascii="Cambria Math" w:hAnsi="Cambria Math"/>
          </w:rPr>
          <m:t>PB=</m:t>
        </m:r>
        <m:f>
          <m:fPr>
            <m:ctrlPr>
              <w:rPr>
                <w:rFonts w:ascii="Cambria Math" w:hAnsi="Cambria Math"/>
                <w:i/>
              </w:rPr>
            </m:ctrlPr>
          </m:fPr>
          <m:num>
            <m:r>
              <w:rPr>
                <w:rFonts w:ascii="Cambria Math" w:hAnsi="Cambria Math"/>
              </w:rPr>
              <m:t>Anzahl</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acc>
                  <m:accPr>
                    <m:ctrlPr>
                      <w:rPr>
                        <w:rFonts w:ascii="Cambria Math" w:hAnsi="Cambria Math"/>
                        <w:i/>
                      </w:rPr>
                    </m:ctrlPr>
                  </m:accPr>
                  <m:e>
                    <m:sSubSup>
                      <m:sSubSupPr>
                        <m:ctrlPr>
                          <w:rPr>
                            <w:rFonts w:ascii="Cambria Math" w:hAnsi="Cambria Math"/>
                            <w:i/>
                          </w:rPr>
                        </m:ctrlPr>
                      </m:sSubSupPr>
                      <m:e>
                        <m:r>
                          <w:rPr>
                            <w:rFonts w:ascii="Cambria Math" w:hAnsi="Cambria Math"/>
                          </w:rPr>
                          <m:t>Y</m:t>
                        </m:r>
                      </m:e>
                      <m:sub>
                        <m:r>
                          <w:rPr>
                            <w:rFonts w:ascii="Cambria Math" w:hAnsi="Cambria Math"/>
                          </w:rPr>
                          <m:t>t</m:t>
                        </m:r>
                      </m:sub>
                      <m:sup>
                        <m:r>
                          <w:rPr>
                            <w:rFonts w:ascii="Cambria Math" w:hAnsi="Cambria Math"/>
                          </w:rPr>
                          <m:t>(A)</m:t>
                        </m:r>
                      </m:sup>
                    </m:sSubSup>
                  </m:e>
                </m:acc>
              </m:e>
            </m:d>
            <m:r>
              <w:rPr>
                <w:rFonts w:ascii="Cambria Math" w:hAnsi="Cambria Math"/>
              </w:rPr>
              <m:t>&lt;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acc>
                  <m:accPr>
                    <m:ctrlPr>
                      <w:rPr>
                        <w:rFonts w:ascii="Cambria Math" w:hAnsi="Cambria Math"/>
                        <w:i/>
                      </w:rPr>
                    </m:ctrlPr>
                  </m:accPr>
                  <m:e>
                    <m:sSubSup>
                      <m:sSubSupPr>
                        <m:ctrlPr>
                          <w:rPr>
                            <w:rFonts w:ascii="Cambria Math" w:hAnsi="Cambria Math"/>
                            <w:i/>
                          </w:rPr>
                        </m:ctrlPr>
                      </m:sSubSupPr>
                      <m:e>
                        <m:r>
                          <w:rPr>
                            <w:rFonts w:ascii="Cambria Math" w:hAnsi="Cambria Math"/>
                          </w:rPr>
                          <m:t>Y</m:t>
                        </m:r>
                      </m:e>
                      <m:sub>
                        <m:r>
                          <w:rPr>
                            <w:rFonts w:ascii="Cambria Math" w:hAnsi="Cambria Math"/>
                          </w:rPr>
                          <m:t>t</m:t>
                        </m:r>
                      </m:sub>
                      <m:sup>
                        <m:r>
                          <w:rPr>
                            <w:rFonts w:ascii="Cambria Math" w:hAnsi="Cambria Math"/>
                          </w:rPr>
                          <m:t>(B)</m:t>
                        </m:r>
                      </m:sup>
                    </m:sSubSup>
                  </m:e>
                </m:acc>
              </m:e>
            </m:d>
          </m:num>
          <m:den>
            <m:r>
              <w:rPr>
                <w:rFonts w:ascii="Cambria Math" w:hAnsi="Cambria Math"/>
              </w:rPr>
              <m:t>Gesamtanzahl Prognosezeitpunkte</m:t>
            </m:r>
          </m:den>
        </m:f>
      </m:oMath>
      <w:r>
        <w:rPr>
          <w:rFonts w:eastAsiaTheme="minorEastAsia"/>
        </w:rPr>
        <w:t>*100</w:t>
      </w:r>
    </w:p>
    <w:p w:rsidR="00267D73" w:rsidRDefault="00267D73" w:rsidP="00267D73">
      <w:pPr>
        <w:ind w:left="360"/>
      </w:pPr>
      <w:r>
        <w:tab/>
        <w:t xml:space="preserve">PB kann auch auf andere </w:t>
      </w:r>
      <w:proofErr w:type="spellStart"/>
      <w:r>
        <w:t>Gütemaße</w:t>
      </w:r>
      <w:proofErr w:type="spellEnd"/>
      <w:r>
        <w:t xml:space="preserve"> bezogen werden.</w:t>
      </w:r>
    </w:p>
    <w:p w:rsidR="00267D73" w:rsidRDefault="00267D73" w:rsidP="00267D73">
      <w:pPr>
        <w:ind w:left="360"/>
        <w:rPr>
          <w:lang w:val="en-US"/>
        </w:rPr>
      </w:pPr>
      <w:r>
        <w:tab/>
      </w:r>
      <w:r w:rsidRPr="00267D73">
        <w:rPr>
          <w:lang w:val="en-US"/>
        </w:rPr>
        <w:t xml:space="preserve">BSP: </w:t>
      </w:r>
      <w:r>
        <w:rPr>
          <w:lang w:val="en-US"/>
        </w:rPr>
        <w:tab/>
        <w:t xml:space="preserve">- </w:t>
      </w:r>
      <w:proofErr w:type="gramStart"/>
      <w:r w:rsidRPr="00951E14">
        <w:rPr>
          <w:lang w:val="en-US"/>
        </w:rPr>
        <w:t>PB(</w:t>
      </w:r>
      <w:proofErr w:type="gramEnd"/>
      <w:r w:rsidRPr="00951E14">
        <w:rPr>
          <w:lang w:val="en-US"/>
        </w:rPr>
        <w:t>MAE</w:t>
      </w:r>
      <w:r>
        <w:rPr>
          <w:lang w:val="en-US"/>
        </w:rPr>
        <w:t>)</w:t>
      </w:r>
      <w:r w:rsidRPr="00951E14">
        <w:rPr>
          <w:lang w:val="en-US"/>
        </w:rPr>
        <w:t xml:space="preserve"> = 100</w:t>
      </w:r>
      <w:r>
        <w:rPr>
          <w:lang w:val="en-US"/>
        </w:rPr>
        <w:t xml:space="preserve"> </w:t>
      </w:r>
      <w:r>
        <w:rPr>
          <w:lang w:val="en-US"/>
        </w:rPr>
        <w:t>*</w:t>
      </w:r>
      <w:r w:rsidRPr="00951E14">
        <w:rPr>
          <w:lang w:val="en-US"/>
        </w:rPr>
        <w:t xml:space="preserve"> mean (MAE&lt;MAE Bench</w:t>
      </w:r>
      <w:r>
        <w:rPr>
          <w:lang w:val="en-US"/>
        </w:rPr>
        <w:t>)</w:t>
      </w:r>
    </w:p>
    <w:p w:rsidR="00267D73" w:rsidRDefault="00267D73" w:rsidP="00267D73">
      <w:pPr>
        <w:ind w:left="1068" w:firstLine="348"/>
        <w:rPr>
          <w:lang w:val="en-US"/>
        </w:rPr>
      </w:pPr>
      <w:r>
        <w:rPr>
          <w:lang w:val="en-US"/>
        </w:rPr>
        <w:t xml:space="preserve">- </w:t>
      </w:r>
      <w:proofErr w:type="gramStart"/>
      <w:r>
        <w:rPr>
          <w:lang w:val="en-US"/>
        </w:rPr>
        <w:t>PB(</w:t>
      </w:r>
      <w:proofErr w:type="gramEnd"/>
      <w:r>
        <w:rPr>
          <w:lang w:val="en-US"/>
        </w:rPr>
        <w:t>MSE) = 100</w:t>
      </w:r>
      <w:r>
        <w:rPr>
          <w:lang w:val="en-US"/>
        </w:rPr>
        <w:t xml:space="preserve"> </w:t>
      </w:r>
      <w:r>
        <w:rPr>
          <w:lang w:val="en-US"/>
        </w:rPr>
        <w:t>*</w:t>
      </w:r>
      <w:r>
        <w:rPr>
          <w:lang w:val="en-US"/>
        </w:rPr>
        <w:t xml:space="preserve"> </w:t>
      </w:r>
      <w:r>
        <w:rPr>
          <w:lang w:val="en-US"/>
        </w:rPr>
        <w:t>mean</w:t>
      </w:r>
      <w:r>
        <w:rPr>
          <w:lang w:val="en-US"/>
        </w:rPr>
        <w:t xml:space="preserve"> </w:t>
      </w:r>
      <w:r>
        <w:rPr>
          <w:lang w:val="en-US"/>
        </w:rPr>
        <w:t>(MSE&lt;MSE Bench)</w:t>
      </w:r>
    </w:p>
    <w:p w:rsidR="00267D73" w:rsidRPr="00267D73" w:rsidRDefault="00267D73" w:rsidP="00267D73">
      <w:pPr>
        <w:pStyle w:val="Listenabsatz"/>
        <w:numPr>
          <w:ilvl w:val="0"/>
          <w:numId w:val="1"/>
        </w:numPr>
      </w:pPr>
      <w:r w:rsidRPr="00267D73">
        <w:t xml:space="preserve">Relative Fehlermaße bezogen auf </w:t>
      </w:r>
      <w:proofErr w:type="spellStart"/>
      <w:r w:rsidRPr="00267D73">
        <w:t>naïve</w:t>
      </w:r>
      <w:proofErr w:type="spellEnd"/>
      <w:r w:rsidRPr="00267D73">
        <w:t xml:space="preserve"> Prognose, z.B.</w:t>
      </w:r>
    </w:p>
    <w:p w:rsidR="00267D73" w:rsidRDefault="00267D73" w:rsidP="007B0437">
      <w:pPr>
        <w:pStyle w:val="Listenabsatz"/>
        <w:numPr>
          <w:ilvl w:val="1"/>
          <w:numId w:val="1"/>
        </w:numPr>
      </w:pPr>
      <w:r>
        <w:t xml:space="preserve">MRAE bzw. </w:t>
      </w:r>
      <w:proofErr w:type="spellStart"/>
      <w:r>
        <w:t>MdRAE</w:t>
      </w:r>
      <w:proofErr w:type="spellEnd"/>
    </w:p>
    <w:p w:rsidR="00DD6520" w:rsidRDefault="00267D73" w:rsidP="00267D73">
      <w:pPr>
        <w:pStyle w:val="Listenabsatz"/>
        <w:numPr>
          <w:ilvl w:val="1"/>
          <w:numId w:val="1"/>
        </w:numPr>
      </w:pPr>
      <w:r>
        <w:t>GMRAE</w:t>
      </w:r>
    </w:p>
    <w:p w:rsidR="00267D73" w:rsidRDefault="00DD6520" w:rsidP="00267D73">
      <w:pPr>
        <w:pStyle w:val="Listenabsatz"/>
        <w:numPr>
          <w:ilvl w:val="1"/>
          <w:numId w:val="1"/>
        </w:numPr>
      </w:pPr>
      <w:r>
        <w:t>Ermitteln</w:t>
      </w:r>
      <w:r w:rsidR="00267D73">
        <w:t xml:space="preserve"> den relativen Fehler zwischen naivem Modell und Prognoseverfahren.</w:t>
      </w:r>
    </w:p>
    <w:p w:rsidR="00267D73" w:rsidRPr="00267D73" w:rsidRDefault="00267D73" w:rsidP="00267D73">
      <w:pPr>
        <w:pStyle w:val="Listenabsatz"/>
        <w:numPr>
          <w:ilvl w:val="1"/>
          <w:numId w:val="1"/>
        </w:numPr>
      </w:pPr>
      <w:r>
        <w:t>GMRAE = 0,54 heißt, das der Fehler des Prognoseverfahrens nur 54% des Fehlers des naiven Verfahrens ausmacht.</w:t>
      </w:r>
    </w:p>
    <w:p w:rsidR="00267D73" w:rsidRDefault="00DD6520" w:rsidP="00DD6520">
      <w:pPr>
        <w:pStyle w:val="Listenabsatz"/>
        <w:numPr>
          <w:ilvl w:val="0"/>
          <w:numId w:val="1"/>
        </w:numPr>
      </w:pPr>
      <w:r>
        <w:t>MASE</w:t>
      </w:r>
    </w:p>
    <w:p w:rsidR="00DD6520" w:rsidRDefault="00DD6520" w:rsidP="00DD6520">
      <w:pPr>
        <w:pStyle w:val="Listenabsatz"/>
        <w:numPr>
          <w:ilvl w:val="1"/>
          <w:numId w:val="1"/>
        </w:numPr>
      </w:pPr>
      <w:r>
        <w:t>MASE = 0,5 – Prognose hat voraussichtlich die Hälfte der Fehlerquote der naiven Prognose</w:t>
      </w:r>
      <w:r>
        <w:t>; MASE</w:t>
      </w:r>
      <w:r>
        <w:t>= 1-&gt; wie naive Prognose</w:t>
      </w:r>
      <w:r>
        <w:t xml:space="preserve"> (kann alternativ * 100 genommen und dann als %-Wert gelesen werden)</w:t>
      </w:r>
    </w:p>
    <w:p w:rsidR="00DD6520" w:rsidRPr="00820A1D" w:rsidRDefault="00DD6520" w:rsidP="00DD6520">
      <w:pPr>
        <w:pStyle w:val="Listenabsatz"/>
        <w:ind w:left="1080"/>
        <w:rPr>
          <w:rFonts w:eastAsiaTheme="minorEastAsia"/>
        </w:rPr>
      </w:pPr>
      <m:oMathPara>
        <m:oMath>
          <m:r>
            <w:rPr>
              <w:rFonts w:ascii="Cambria Math" w:hAnsi="Cambria Math"/>
            </w:rPr>
            <m:t>MASE=mean</m:t>
          </m:r>
          <m:d>
            <m:dPr>
              <m:ctrlPr>
                <w:rPr>
                  <w:rFonts w:ascii="Cambria Math" w:hAnsi="Cambria Math"/>
                  <w:i/>
                </w:rPr>
              </m:ctrlPr>
            </m:dPr>
            <m:e>
              <m:r>
                <w:rPr>
                  <w:rFonts w:ascii="Cambria Math" w:hAnsi="Cambria Math"/>
                </w:rPr>
                <m:t>abs.q</m:t>
              </m:r>
              <m:d>
                <m:dPr>
                  <m:ctrlPr>
                    <w:rPr>
                      <w:rFonts w:ascii="Cambria Math" w:hAnsi="Cambria Math"/>
                      <w:i/>
                    </w:rPr>
                  </m:ctrlPr>
                </m:dPr>
                <m:e>
                  <m:r>
                    <w:rPr>
                      <w:rFonts w:ascii="Cambria Math" w:hAnsi="Cambria Math"/>
                    </w:rPr>
                    <m:t>t</m:t>
                  </m:r>
                </m:e>
              </m:d>
            </m:e>
          </m:d>
        </m:oMath>
      </m:oMathPara>
    </w:p>
    <w:p w:rsidR="00DD6520" w:rsidRDefault="00DD6520" w:rsidP="00DD6520">
      <w:pPr>
        <w:pStyle w:val="Listenabsatz"/>
        <w:ind w:left="1080" w:firstLine="336"/>
        <w:rPr>
          <w:rFonts w:eastAsiaTheme="minorEastAsia"/>
        </w:rPr>
      </w:pPr>
      <w:r>
        <w:rPr>
          <w:rFonts w:eastAsiaTheme="minorEastAsia"/>
        </w:rPr>
        <w:t xml:space="preserve">Mit </w:t>
      </w:r>
    </w:p>
    <w:p w:rsidR="00DD6520" w:rsidRPr="00912E89" w:rsidRDefault="00DD6520" w:rsidP="00DD6520">
      <w:pPr>
        <w:pStyle w:val="Listenabsatz"/>
        <w:ind w:left="1080"/>
        <w:rPr>
          <w:rFonts w:eastAsiaTheme="minorEastAsia"/>
        </w:rPr>
      </w:pPr>
      <m:oMathPara>
        <m:oMath>
          <m:r>
            <w:rPr>
              <w:rFonts w:ascii="Cambria Math" w:eastAsiaTheme="minorEastAsia" w:hAnsi="Cambria Math"/>
            </w:rPr>
            <m:t>q</m:t>
          </m:r>
          <m:d>
            <m:dPr>
              <m:ctrlPr>
                <w:rPr>
                  <w:rFonts w:ascii="Cambria Math" w:eastAsiaTheme="minorEastAsia" w:hAnsi="Cambria Math"/>
                  <w:i/>
                </w:rPr>
              </m:ctrlPr>
            </m:dPr>
            <m:e>
              <m:r>
                <w:rPr>
                  <w:rFonts w:ascii="Cambria Math" w:eastAsiaTheme="minorEastAsia" w:hAnsi="Cambria Math"/>
                </w:rPr>
                <m:t>t</m:t>
              </m:r>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e</m:t>
              </m:r>
              <m:d>
                <m:dPr>
                  <m:ctrlPr>
                    <w:rPr>
                      <w:rFonts w:ascii="Cambria Math" w:eastAsiaTheme="minorEastAsia" w:hAnsi="Cambria Math"/>
                      <w:i/>
                    </w:rPr>
                  </m:ctrlPr>
                </m:dPr>
                <m:e>
                  <m:r>
                    <w:rPr>
                      <w:rFonts w:ascii="Cambria Math" w:eastAsiaTheme="minorEastAsia" w:hAnsi="Cambria Math"/>
                    </w:rPr>
                    <m:t>t</m:t>
                  </m:r>
                </m:e>
              </m:d>
            </m:num>
            <m:den>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n-1</m:t>
                  </m:r>
                </m:den>
              </m:f>
              <m:nary>
                <m:naryPr>
                  <m:chr m:val="∑"/>
                  <m:limLoc m:val="undOvr"/>
                  <m:ctrlPr>
                    <w:rPr>
                      <w:rFonts w:ascii="Cambria Math" w:eastAsiaTheme="minorEastAsia" w:hAnsi="Cambria Math"/>
                      <w:i/>
                    </w:rPr>
                  </m:ctrlPr>
                </m:naryPr>
                <m:sub>
                  <m:r>
                    <w:rPr>
                      <w:rFonts w:ascii="Cambria Math" w:eastAsiaTheme="minorEastAsia" w:hAnsi="Cambria Math"/>
                    </w:rPr>
                    <m:t>t=2</m:t>
                  </m:r>
                </m:sub>
                <m:sup>
                  <m:r>
                    <w:rPr>
                      <w:rFonts w:ascii="Cambria Math" w:eastAsiaTheme="minorEastAsia" w:hAnsi="Cambria Math"/>
                    </w:rPr>
                    <m:t>n</m:t>
                  </m:r>
                </m:sup>
                <m:e>
                  <m:d>
                    <m:dPr>
                      <m:begChr m:val="|"/>
                      <m:endChr m:val="|"/>
                      <m:ctrlPr>
                        <w:rPr>
                          <w:rFonts w:ascii="Cambria Math" w:eastAsiaTheme="minorEastAsia" w:hAnsi="Cambria Math"/>
                          <w:i/>
                        </w:rPr>
                      </m:ctrlPr>
                    </m:dPr>
                    <m:e>
                      <m:r>
                        <w:rPr>
                          <w:rFonts w:ascii="Cambria Math" w:eastAsiaTheme="minorEastAsia" w:hAnsi="Cambria Math"/>
                        </w:rPr>
                        <m:t>Yi-Yi-1</m:t>
                      </m:r>
                    </m:e>
                  </m:d>
                </m:e>
              </m:nary>
            </m:den>
          </m:f>
        </m:oMath>
      </m:oMathPara>
    </w:p>
    <w:p w:rsidR="00DD6520" w:rsidRDefault="00DD6520" w:rsidP="00DD6520">
      <w:pPr>
        <w:pStyle w:val="Listenabsatz"/>
        <w:ind w:left="1080"/>
        <w:rPr>
          <w:rFonts w:eastAsiaTheme="minorEastAsia"/>
        </w:rPr>
      </w:pPr>
    </w:p>
    <w:p w:rsidR="00BD652D" w:rsidRPr="00267D73" w:rsidRDefault="00BD652D" w:rsidP="00AA68B6"/>
    <w:p w:rsidR="00AA68B6" w:rsidRPr="00DD6520" w:rsidRDefault="00AA68B6" w:rsidP="00AA68B6">
      <w:pPr>
        <w:rPr>
          <w:b/>
          <w:u w:val="single"/>
        </w:rPr>
      </w:pPr>
      <w:r w:rsidRPr="00DD6520">
        <w:rPr>
          <w:b/>
          <w:u w:val="single"/>
        </w:rPr>
        <w:t>b) Median-basierte Maße</w:t>
      </w:r>
    </w:p>
    <w:p w:rsidR="00DD6520" w:rsidRDefault="00DD6520" w:rsidP="00AA68B6">
      <w:r>
        <w:t xml:space="preserve">Medianbasierte </w:t>
      </w:r>
      <w:proofErr w:type="spellStart"/>
      <w:r>
        <w:t>Gütemaße</w:t>
      </w:r>
      <w:proofErr w:type="spellEnd"/>
      <w:r>
        <w:t xml:space="preserve"> sind resistenter gegen Ausreißer als die momentan verwendeten Mittelwertbasierten </w:t>
      </w:r>
      <w:proofErr w:type="spellStart"/>
      <w:r>
        <w:t>Gütemaße</w:t>
      </w:r>
      <w:proofErr w:type="spellEnd"/>
      <w:r>
        <w:t>. Aufgrund der kurzen Ex-Post-Periode</w:t>
      </w:r>
      <w:r w:rsidR="00F549EE">
        <w:t xml:space="preserve">n (N&lt;30) und der Verwendung zum Vergleich verschiedener Verfahren mit unterschiedlichem langen Ex-Post-Perioden besteht die Gefahr, das Ausreißer zu starken Verzerrungen innerhalb eigentlich geeigneter </w:t>
      </w:r>
      <w:proofErr w:type="spellStart"/>
      <w:r w:rsidR="00F549EE">
        <w:t>Gütemaße</w:t>
      </w:r>
      <w:proofErr w:type="spellEnd"/>
      <w:r w:rsidR="00F549EE">
        <w:t xml:space="preserve"> führen. </w:t>
      </w:r>
    </w:p>
    <w:p w:rsidR="00F549EE" w:rsidRDefault="00F549EE" w:rsidP="00F549EE">
      <w:r w:rsidRPr="00097EE0">
        <w:t xml:space="preserve">Umstellung vorhandener </w:t>
      </w:r>
      <w:r>
        <w:t xml:space="preserve">Mittelwertbasierter </w:t>
      </w:r>
      <w:r w:rsidRPr="00097EE0">
        <w:t xml:space="preserve">Maße auf Medianbasiere </w:t>
      </w:r>
      <w:r>
        <w:t xml:space="preserve">Maße, z.B. </w:t>
      </w:r>
    </w:p>
    <w:p w:rsidR="00F549EE" w:rsidRDefault="00F549EE" w:rsidP="00F549EE">
      <w:pPr>
        <w:pStyle w:val="Listenabsatz"/>
        <w:numPr>
          <w:ilvl w:val="0"/>
          <w:numId w:val="3"/>
        </w:numPr>
      </w:pPr>
      <w:proofErr w:type="spellStart"/>
      <w:r>
        <w:t>MdAE</w:t>
      </w:r>
      <w:proofErr w:type="spellEnd"/>
      <w:r>
        <w:t xml:space="preserve"> (statt MAE)</w:t>
      </w:r>
    </w:p>
    <w:p w:rsidR="00F549EE" w:rsidRDefault="00F549EE" w:rsidP="00F549EE">
      <w:pPr>
        <w:pStyle w:val="Listenabsatz"/>
        <w:numPr>
          <w:ilvl w:val="0"/>
          <w:numId w:val="3"/>
        </w:numPr>
      </w:pPr>
      <w:proofErr w:type="spellStart"/>
      <w:r>
        <w:t>MdAPE</w:t>
      </w:r>
      <w:proofErr w:type="spellEnd"/>
      <w:r>
        <w:t xml:space="preserve"> (statt MAPE)</w:t>
      </w:r>
    </w:p>
    <w:p w:rsidR="00F549EE" w:rsidRPr="00097EE0" w:rsidRDefault="00F549EE" w:rsidP="00F549EE">
      <w:pPr>
        <w:pStyle w:val="Listenabsatz"/>
        <w:numPr>
          <w:ilvl w:val="0"/>
          <w:numId w:val="3"/>
        </w:numPr>
      </w:pPr>
      <w:proofErr w:type="spellStart"/>
      <w:r>
        <w:t>RMdSPE</w:t>
      </w:r>
      <w:proofErr w:type="spellEnd"/>
      <w:r>
        <w:t xml:space="preserve"> (statt RMSPE – noch nicht vorhanden)</w:t>
      </w:r>
    </w:p>
    <w:p w:rsidR="00F549EE" w:rsidRDefault="00F549EE" w:rsidP="00AA68B6"/>
    <w:p w:rsidR="00AA68B6" w:rsidRPr="00DD6520" w:rsidRDefault="00AA68B6" w:rsidP="00AA68B6">
      <w:pPr>
        <w:rPr>
          <w:b/>
          <w:u w:val="single"/>
        </w:rPr>
      </w:pPr>
      <w:r w:rsidRPr="00DD6520">
        <w:rPr>
          <w:b/>
          <w:u w:val="single"/>
        </w:rPr>
        <w:lastRenderedPageBreak/>
        <w:t>c) Beurteilung der generellen Eignung des Prognoseverfahren für die Verbrauchsreihe</w:t>
      </w:r>
    </w:p>
    <w:p w:rsidR="00DD6520" w:rsidRDefault="00DD6520" w:rsidP="00DD6520">
      <w:pPr>
        <w:pStyle w:val="Listenabsatz"/>
        <w:numPr>
          <w:ilvl w:val="0"/>
          <w:numId w:val="1"/>
        </w:numPr>
      </w:pPr>
      <w:r>
        <w:t>Abweichungssignal SIG</w:t>
      </w:r>
    </w:p>
    <w:p w:rsidR="00DD6520" w:rsidRDefault="00DD6520" w:rsidP="00DD6520">
      <w:pPr>
        <w:pStyle w:val="Listenabsatz"/>
        <w:rPr>
          <w:rFonts w:eastAsiaTheme="minorEastAsia"/>
        </w:rPr>
      </w:pPr>
      <m:oMath>
        <m:r>
          <w:rPr>
            <w:rFonts w:ascii="Cambria Math" w:hAnsi="Cambria Math"/>
          </w:rPr>
          <m:t xml:space="preserve">SIG= </m:t>
        </m:r>
        <m:f>
          <m:fPr>
            <m:ctrlPr>
              <w:rPr>
                <w:rFonts w:ascii="Cambria Math" w:hAnsi="Cambria Math"/>
                <w:i/>
              </w:rPr>
            </m:ctrlPr>
          </m:fPr>
          <m:num>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T</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m:t>
                    </m:r>
                  </m:sub>
                </m:sSub>
              </m:e>
            </m:nary>
          </m:num>
          <m:den>
            <m:r>
              <w:rPr>
                <w:rFonts w:ascii="Cambria Math" w:hAnsi="Cambria Math"/>
              </w:rPr>
              <m:t>MAD</m:t>
            </m:r>
          </m:den>
        </m:f>
      </m:oMath>
      <w:r>
        <w:rPr>
          <w:rFonts w:eastAsiaTheme="minorEastAsia"/>
        </w:rPr>
        <w:t xml:space="preserve"> </w:t>
      </w:r>
    </w:p>
    <w:p w:rsidR="00DD6520" w:rsidRDefault="00DD6520" w:rsidP="00DD6520">
      <w:pPr>
        <w:pStyle w:val="Listenabsatz"/>
        <w:rPr>
          <w:rFonts w:eastAsiaTheme="minorEastAsia"/>
        </w:rPr>
      </w:pPr>
      <w:r>
        <w:rPr>
          <w:rFonts w:eastAsiaTheme="minorEastAsia"/>
        </w:rPr>
        <w:t>= Verhältnis kumulierter Prognosefehler durch MAD = Grenzwert</w:t>
      </w:r>
    </w:p>
    <w:p w:rsidR="00DD6520" w:rsidRPr="00DD6520" w:rsidRDefault="00DD6520" w:rsidP="00DD6520">
      <w:pPr>
        <w:pStyle w:val="Listenabsatz"/>
        <w:numPr>
          <w:ilvl w:val="1"/>
          <w:numId w:val="1"/>
        </w:numPr>
        <w:rPr>
          <w:rFonts w:eastAsiaTheme="minorEastAsia"/>
        </w:rPr>
      </w:pPr>
      <w:r w:rsidRPr="00DD6520">
        <w:rPr>
          <w:rFonts w:eastAsiaTheme="minorEastAsia"/>
        </w:rPr>
        <w:t>SIG bis +/- 3 -&gt; Prognoseverfahren geeignet.</w:t>
      </w:r>
    </w:p>
    <w:p w:rsidR="00DD6520" w:rsidRPr="00DD6520" w:rsidRDefault="00DD6520" w:rsidP="00DD6520">
      <w:pPr>
        <w:pStyle w:val="Listenabsatz"/>
        <w:ind w:left="1080"/>
        <w:rPr>
          <w:rFonts w:eastAsiaTheme="minorEastAsia"/>
        </w:rPr>
      </w:pPr>
    </w:p>
    <w:p w:rsidR="00DD6520" w:rsidRDefault="00DD6520" w:rsidP="00DD6520">
      <w:pPr>
        <w:pStyle w:val="Listenabsatz"/>
        <w:numPr>
          <w:ilvl w:val="0"/>
          <w:numId w:val="1"/>
        </w:numPr>
      </w:pPr>
      <w:proofErr w:type="spellStart"/>
      <w:r>
        <w:t>Triggs</w:t>
      </w:r>
      <w:proofErr w:type="spellEnd"/>
      <w:r>
        <w:t>-Tracking-Signal (verwendet SAP im APO)</w:t>
      </w:r>
    </w:p>
    <w:p w:rsidR="00DD6520" w:rsidRPr="00DD6520" w:rsidRDefault="00DD6520" w:rsidP="00DD6520">
      <w:pPr>
        <w:pStyle w:val="Listenabsatz"/>
        <w:numPr>
          <w:ilvl w:val="1"/>
          <w:numId w:val="1"/>
        </w:numPr>
        <w:rPr>
          <w:rFonts w:eastAsiaTheme="minorEastAsia"/>
        </w:rPr>
      </w:pPr>
      <w:proofErr w:type="spellStart"/>
      <w:r w:rsidRPr="00DD6520">
        <w:rPr>
          <w:rFonts w:eastAsiaTheme="minorEastAsia"/>
        </w:rPr>
        <w:t>T</w:t>
      </w:r>
      <w:r w:rsidRPr="00DD6520">
        <w:rPr>
          <w:rFonts w:eastAsiaTheme="minorEastAsia"/>
        </w:rPr>
        <w:t>riggs</w:t>
      </w:r>
      <w:proofErr w:type="spellEnd"/>
      <w:r w:rsidRPr="00DD6520">
        <w:rPr>
          <w:rFonts w:eastAsiaTheme="minorEastAsia"/>
        </w:rPr>
        <w:t xml:space="preserve"> Tracking-Signal prüft, ob das gewählte Prognosemodell geeignet ist, oder ob es besser wäre, ein neues Prognosemodell zu wählen. Dazu vergleicht es die Ergebnisse einer der letzten Prognosen mit dem tatsächlichen Bedarf und prüft, ob ein Prognosefehler einen bestimmten Grenzwert zu oft überschreitet.</w:t>
      </w:r>
    </w:p>
    <w:p w:rsidR="00DD6520" w:rsidRPr="00DD6520" w:rsidRDefault="00DD6520" w:rsidP="00DD6520">
      <w:pPr>
        <w:pStyle w:val="Listenabsatz"/>
        <w:numPr>
          <w:ilvl w:val="1"/>
          <w:numId w:val="1"/>
        </w:numPr>
        <w:rPr>
          <w:rFonts w:eastAsiaTheme="minorEastAsia"/>
        </w:rPr>
      </w:pPr>
      <w:r w:rsidRPr="00DD6520">
        <w:rPr>
          <w:rFonts w:eastAsiaTheme="minorEastAsia"/>
        </w:rPr>
        <w:t>Abwertung, wenn Signal gegen Signalgrenzen verstößt</w:t>
      </w:r>
    </w:p>
    <w:p w:rsidR="00F549EE" w:rsidRDefault="00F549EE" w:rsidP="00F549EE">
      <w:pPr>
        <w:pStyle w:val="Listenabsatz"/>
        <w:numPr>
          <w:ilvl w:val="0"/>
          <w:numId w:val="1"/>
        </w:numPr>
      </w:pPr>
      <w:r>
        <w:t xml:space="preserve">Stock-out-Rate: Wie oft hätte das </w:t>
      </w:r>
      <w:proofErr w:type="spellStart"/>
      <w:r>
        <w:t>Prognosevefahren</w:t>
      </w:r>
      <w:proofErr w:type="spellEnd"/>
      <w:r>
        <w:t xml:space="preserve"> während der Ex-Post-Periode zu Stock-Outs geführt (d.h. Prognose &lt; Verbrauch)</w:t>
      </w:r>
    </w:p>
    <w:p w:rsidR="00AA68B6" w:rsidRDefault="00AA68B6" w:rsidP="00AA68B6"/>
    <w:p w:rsidR="00F549EE" w:rsidRPr="00DD6520" w:rsidRDefault="00F549EE" w:rsidP="00F549EE">
      <w:pPr>
        <w:rPr>
          <w:b/>
          <w:u w:val="single"/>
        </w:rPr>
      </w:pPr>
      <w:r>
        <w:rPr>
          <w:b/>
          <w:u w:val="single"/>
        </w:rPr>
        <w:t>d</w:t>
      </w:r>
      <w:r w:rsidRPr="00DD6520">
        <w:rPr>
          <w:b/>
          <w:u w:val="single"/>
        </w:rPr>
        <w:t xml:space="preserve">) </w:t>
      </w:r>
      <w:r>
        <w:rPr>
          <w:b/>
          <w:u w:val="single"/>
        </w:rPr>
        <w:t>MAPE-Alternativen</w:t>
      </w:r>
    </w:p>
    <w:p w:rsidR="00F549EE" w:rsidRDefault="00F549EE" w:rsidP="00F549EE">
      <w:pPr>
        <w:pStyle w:val="Listenabsatz"/>
        <w:numPr>
          <w:ilvl w:val="0"/>
          <w:numId w:val="1"/>
        </w:numPr>
      </w:pPr>
      <w:r>
        <w:t>WMAPE: Interessant im Sinne eines Monitorings für besonders werthaltige Materialien (ABC-Klassifizierung)?</w:t>
      </w:r>
    </w:p>
    <w:p w:rsidR="00F549EE" w:rsidRPr="00F549EE" w:rsidRDefault="00F549EE" w:rsidP="00F549EE">
      <w:pPr>
        <w:pStyle w:val="Listenabsatz"/>
        <w:numPr>
          <w:ilvl w:val="0"/>
          <w:numId w:val="1"/>
        </w:numPr>
      </w:pPr>
      <w:proofErr w:type="spellStart"/>
      <w:r w:rsidRPr="00F549EE">
        <w:t>sMAPE</w:t>
      </w:r>
      <w:proofErr w:type="spellEnd"/>
      <w:r w:rsidRPr="00F549EE">
        <w:t xml:space="preserve"> (</w:t>
      </w:r>
      <w:r w:rsidRPr="00F549EE">
        <w:t xml:space="preserve"> bzw. </w:t>
      </w:r>
      <w:proofErr w:type="spellStart"/>
      <w:r w:rsidRPr="00F549EE">
        <w:t>sMdAPE</w:t>
      </w:r>
      <w:proofErr w:type="spellEnd"/>
      <w:r w:rsidRPr="00F549EE">
        <w:t>)</w:t>
      </w:r>
    </w:p>
    <w:p w:rsidR="00F549EE" w:rsidRDefault="00F549EE" w:rsidP="00F549EE">
      <w:pPr>
        <w:pStyle w:val="Listenabsatz"/>
        <w:numPr>
          <w:ilvl w:val="0"/>
          <w:numId w:val="1"/>
        </w:numPr>
      </w:pPr>
      <w:r w:rsidRPr="00C17DAE">
        <w:t>RAPE /WAPE</w:t>
      </w:r>
      <w:r>
        <w:t>: Eignung insbesondere für aggregierte Zeitreihen?</w:t>
      </w:r>
    </w:p>
    <w:p w:rsidR="00F549EE" w:rsidRDefault="00F549EE" w:rsidP="00AA68B6"/>
    <w:p w:rsidR="00DA425D" w:rsidRPr="00F549EE" w:rsidRDefault="00AA68B6" w:rsidP="00AA68B6">
      <w:pPr>
        <w:rPr>
          <w:b/>
          <w:sz w:val="24"/>
          <w:szCs w:val="24"/>
          <w:u w:val="single"/>
        </w:rPr>
      </w:pPr>
      <w:r w:rsidRPr="00F549EE">
        <w:rPr>
          <w:b/>
          <w:sz w:val="24"/>
          <w:szCs w:val="24"/>
          <w:u w:val="single"/>
        </w:rPr>
        <w:t>(2) Indikatoren zur Beurteilung der Verbrauchsreihe</w:t>
      </w:r>
    </w:p>
    <w:p w:rsidR="00F549EE" w:rsidRDefault="00F549EE" w:rsidP="00AA68B6"/>
    <w:p w:rsidR="00F549EE" w:rsidRDefault="00F549EE" w:rsidP="00F549EE">
      <w:pPr>
        <w:pStyle w:val="Listenabsatz"/>
        <w:numPr>
          <w:ilvl w:val="0"/>
          <w:numId w:val="2"/>
        </w:numPr>
      </w:pPr>
      <w:r>
        <w:t>Störpegel:</w:t>
      </w:r>
    </w:p>
    <w:p w:rsidR="00F549EE" w:rsidRPr="00F549EE" w:rsidRDefault="00F549EE" w:rsidP="00F549EE">
      <w:pPr>
        <w:pStyle w:val="Listenabsatz"/>
        <w:rPr>
          <w:rFonts w:eastAsiaTheme="minorEastAsia"/>
        </w:rPr>
      </w:pPr>
      <m:oMathPara>
        <m:oMathParaPr>
          <m:jc m:val="left"/>
        </m:oMathParaPr>
        <m:oMath>
          <m:r>
            <w:rPr>
              <w:rFonts w:ascii="Cambria Math" w:hAnsi="Cambria Math"/>
            </w:rPr>
            <m:t>S=</m:t>
          </m:r>
          <m:f>
            <m:fPr>
              <m:ctrlPr>
                <w:rPr>
                  <w:rFonts w:ascii="Cambria Math" w:hAnsi="Cambria Math"/>
                  <w:i/>
                </w:rPr>
              </m:ctrlPr>
            </m:fPr>
            <m:num>
              <m:r>
                <w:rPr>
                  <w:rFonts w:ascii="Cambria Math" w:hAnsi="Cambria Math"/>
                </w:rPr>
                <m:t>MAD</m:t>
              </m:r>
            </m:num>
            <m:den>
              <m:r>
                <w:rPr>
                  <w:rFonts w:ascii="Cambria Math" w:hAnsi="Cambria Math"/>
                </w:rPr>
                <m:t>T</m:t>
              </m:r>
            </m:den>
          </m:f>
        </m:oMath>
      </m:oMathPara>
    </w:p>
    <w:p w:rsidR="00F549EE" w:rsidRDefault="00F549EE" w:rsidP="00F549EE">
      <w:pPr>
        <w:pStyle w:val="Listenabsatz"/>
        <w:rPr>
          <w:rFonts w:eastAsiaTheme="minorEastAsia"/>
        </w:rPr>
      </w:pPr>
      <w:r>
        <w:rPr>
          <w:rFonts w:eastAsiaTheme="minorEastAsia"/>
        </w:rPr>
        <w:t xml:space="preserve">Mit  </w:t>
      </w:r>
      <m:oMath>
        <m:r>
          <w:rPr>
            <w:rFonts w:ascii="Cambria Math" w:eastAsiaTheme="minorEastAsia" w:hAnsi="Cambria Math"/>
          </w:rPr>
          <m:t xml:space="preserve">MAD= </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n</m:t>
            </m:r>
          </m:den>
        </m:f>
        <m:nary>
          <m:naryPr>
            <m:chr m:val="∑"/>
            <m:limLoc m:val="undOvr"/>
            <m:subHide m:val="1"/>
            <m:supHide m:val="1"/>
            <m:ctrlPr>
              <w:rPr>
                <w:rFonts w:ascii="Cambria Math" w:eastAsiaTheme="minorEastAsia" w:hAnsi="Cambria Math"/>
                <w:i/>
              </w:rPr>
            </m:ctrlPr>
          </m:naryPr>
          <m:sub/>
          <m:sup/>
          <m:e>
            <m:d>
              <m:dPr>
                <m:begChr m:val="|"/>
                <m:endChr m:val="|"/>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t</m:t>
                    </m:r>
                  </m:sub>
                </m:sSub>
              </m:e>
            </m:d>
          </m:e>
        </m:nary>
      </m:oMath>
      <w:r>
        <w:rPr>
          <w:rFonts w:eastAsiaTheme="minorEastAsia"/>
        </w:rPr>
        <w:t xml:space="preserve">  (MAD – mittlere absolute Abweichung)</w:t>
      </w:r>
    </w:p>
    <w:p w:rsidR="00F549EE" w:rsidRDefault="00F549EE" w:rsidP="00F549EE">
      <w:pPr>
        <w:pStyle w:val="Listenabsatz"/>
        <w:rPr>
          <w:rFonts w:eastAsiaTheme="minorEastAsia"/>
        </w:rPr>
      </w:pPr>
      <w:r>
        <w:rPr>
          <w:rFonts w:eastAsiaTheme="minorEastAsia"/>
        </w:rPr>
        <w:t xml:space="preserve">Und </w:t>
      </w:r>
      <m:oMath>
        <m:r>
          <w:rPr>
            <w:rFonts w:ascii="Cambria Math" w:eastAsiaTheme="minorEastAsia" w:hAnsi="Cambria Math"/>
          </w:rPr>
          <m:t>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n</m:t>
            </m:r>
          </m:den>
        </m:f>
        <m:nary>
          <m:naryPr>
            <m:chr m:val="∑"/>
            <m:limLoc m:val="undOvr"/>
            <m:subHide m:val="1"/>
            <m:supHide m:val="1"/>
            <m:ctrlPr>
              <w:rPr>
                <w:rFonts w:ascii="Cambria Math" w:eastAsiaTheme="minorEastAsia" w:hAnsi="Cambria Math"/>
                <w:i/>
              </w:rPr>
            </m:ctrlPr>
          </m:naryPr>
          <m:sub/>
          <m:sup/>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m:t>
                </m:r>
              </m:sub>
            </m:sSub>
          </m:e>
        </m:nary>
      </m:oMath>
      <w:r>
        <w:rPr>
          <w:rFonts w:eastAsiaTheme="minorEastAsia"/>
        </w:rPr>
        <w:t xml:space="preserve">  arithm. Mittlerer Verbrauch</w:t>
      </w:r>
    </w:p>
    <w:p w:rsidR="00F549EE" w:rsidRDefault="00F549EE" w:rsidP="00F549EE">
      <w:pPr>
        <w:pStyle w:val="Listenabsatz"/>
      </w:pPr>
    </w:p>
    <w:p w:rsidR="00F549EE" w:rsidRDefault="00F549EE" w:rsidP="00F549EE">
      <w:pPr>
        <w:ind w:left="708"/>
      </w:pPr>
      <w:r>
        <w:t>S &gt; 0,5 -&gt; stark schwankender Verbrauch</w:t>
      </w:r>
      <w:r>
        <w:t>; u.U. als Hinweis auf generell schwer zu prognostizierende Verbrauchsreihen oder zur Abwertung von für diese Verbrauchsreihen nicht geeigneter Prognoseverfahren?</w:t>
      </w:r>
    </w:p>
    <w:p w:rsidR="00F549EE" w:rsidRDefault="00F549EE" w:rsidP="00F549EE">
      <w:pPr>
        <w:pStyle w:val="Listenabsatz"/>
        <w:numPr>
          <w:ilvl w:val="0"/>
          <w:numId w:val="2"/>
        </w:numPr>
      </w:pPr>
      <w:r>
        <w:t>Standardabweichung zur Beurteilung, ob eine Normalverteilung der Prognosefehler vorliegt?</w:t>
      </w:r>
    </w:p>
    <w:p w:rsidR="00F549EE" w:rsidRPr="00CD72DE" w:rsidRDefault="00F549EE" w:rsidP="00F549EE">
      <w:pPr>
        <w:pStyle w:val="Listenabsatz"/>
        <w:ind w:left="1080"/>
        <w:rPr>
          <w:rFonts w:eastAsiaTheme="minorEastAsia"/>
        </w:rPr>
      </w:pPr>
      <m:oMathPara>
        <m:oMath>
          <m:r>
            <w:rPr>
              <w:rFonts w:ascii="Cambria Math" w:hAnsi="Cambria Math"/>
            </w:rPr>
            <m:t>σ=</m:t>
          </m:r>
          <m:rad>
            <m:radPr>
              <m:degHide m:val="1"/>
              <m:ctrlPr>
                <w:rPr>
                  <w:rFonts w:ascii="Cambria Math" w:hAnsi="Cambria Math"/>
                  <w:i/>
                </w:rPr>
              </m:ctrlPr>
            </m:radPr>
            <m:deg/>
            <m:e>
              <m:f>
                <m:fPr>
                  <m:ctrlPr>
                    <w:rPr>
                      <w:rFonts w:ascii="Cambria Math" w:hAnsi="Cambria Math"/>
                      <w:i/>
                    </w:rPr>
                  </m:ctrlPr>
                </m:fPr>
                <m:num>
                  <m:r>
                    <w:rPr>
                      <w:rFonts w:ascii="Cambria Math" w:hAnsi="Cambria Math"/>
                    </w:rPr>
                    <m:t>1</m:t>
                  </m:r>
                </m:num>
                <m:den>
                  <m:r>
                    <w:rPr>
                      <w:rFonts w:ascii="Cambria Math" w:hAnsi="Cambria Math"/>
                    </w:rPr>
                    <m:t>n</m:t>
                  </m:r>
                </m:den>
              </m:f>
            </m:e>
          </m:rad>
          <m:nary>
            <m:naryPr>
              <m:chr m:val="∑"/>
              <m:limLoc m:val="undOvr"/>
              <m:subHide m:val="1"/>
              <m:supHide m:val="1"/>
              <m:ctrlPr>
                <w:rPr>
                  <w:rFonts w:ascii="Cambria Math" w:hAnsi="Cambria Math"/>
                  <w:i/>
                </w:rPr>
              </m:ctrlPr>
            </m:naryPr>
            <m:sub/>
            <m:sup/>
            <m:e>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m:t>
                  </m:r>
                </m:e>
                <m:sup>
                  <m:r>
                    <w:rPr>
                      <w:rFonts w:ascii="Cambria Math" w:hAnsi="Cambria Math"/>
                    </w:rPr>
                    <m:t>2</m:t>
                  </m:r>
                </m:sup>
              </m:sSup>
            </m:e>
          </m:nary>
        </m:oMath>
      </m:oMathPara>
    </w:p>
    <w:p w:rsidR="00F549EE" w:rsidRDefault="00F549EE" w:rsidP="00F549EE">
      <w:pPr>
        <w:pStyle w:val="Listenabsatz"/>
        <w:numPr>
          <w:ilvl w:val="0"/>
          <w:numId w:val="6"/>
        </w:numPr>
      </w:pPr>
      <w:r>
        <w:t>Bei Normalverteilung der Prognosefehler Standardabweichung ca. 1,25 MAD</w:t>
      </w:r>
    </w:p>
    <w:p w:rsidR="00F549EE" w:rsidRDefault="00F549EE" w:rsidP="00F549EE">
      <w:pPr>
        <w:pStyle w:val="Listenabsatz"/>
        <w:numPr>
          <w:ilvl w:val="0"/>
          <w:numId w:val="6"/>
        </w:numPr>
      </w:pPr>
      <w:r>
        <w:t xml:space="preserve">Liegt keine Normalverteilung vor, sind die </w:t>
      </w:r>
      <w:proofErr w:type="spellStart"/>
      <w:r>
        <w:t>Gütemaße</w:t>
      </w:r>
      <w:proofErr w:type="spellEnd"/>
      <w:r>
        <w:t xml:space="preserve"> nur eingeschränkt aussagefähig</w:t>
      </w:r>
    </w:p>
    <w:p w:rsidR="00F549EE" w:rsidRDefault="00F549EE" w:rsidP="00F549EE">
      <w:pPr>
        <w:pStyle w:val="Listenabsatz"/>
        <w:numPr>
          <w:ilvl w:val="0"/>
          <w:numId w:val="2"/>
        </w:numPr>
      </w:pPr>
      <w:r>
        <w:t>Volatilitä</w:t>
      </w:r>
      <w:r w:rsidR="00053DB8">
        <w:t>t des Verbrauchs</w:t>
      </w:r>
    </w:p>
    <w:p w:rsidR="00F549EE" w:rsidRDefault="00053DB8" w:rsidP="00AD3764">
      <w:pPr>
        <w:pStyle w:val="Listenabsatz"/>
        <w:numPr>
          <w:ilvl w:val="0"/>
          <w:numId w:val="6"/>
        </w:numPr>
      </w:pPr>
      <w:r>
        <w:lastRenderedPageBreak/>
        <w:t>Hohe Volatilität = schlechte Prognostizierbarkeit</w:t>
      </w:r>
      <w:r>
        <w:t xml:space="preserve"> </w:t>
      </w:r>
      <w:bookmarkStart w:id="0" w:name="_GoBack"/>
      <w:r w:rsidR="00F549EE">
        <w:rPr>
          <w:noProof/>
          <w:lang w:eastAsia="de-DE"/>
        </w:rPr>
        <w:drawing>
          <wp:inline distT="0" distB="0" distL="0" distR="0" wp14:anchorId="110F57E3" wp14:editId="14AB5DF5">
            <wp:extent cx="5760720" cy="149288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760720" cy="1492885"/>
                    </a:xfrm>
                    <a:prstGeom prst="rect">
                      <a:avLst/>
                    </a:prstGeom>
                  </pic:spPr>
                </pic:pic>
              </a:graphicData>
            </a:graphic>
          </wp:inline>
        </w:drawing>
      </w:r>
    </w:p>
    <w:bookmarkEnd w:id="0"/>
    <w:p w:rsidR="00F549EE" w:rsidRDefault="00F549EE" w:rsidP="00053DB8"/>
    <w:p w:rsidR="00F549EE" w:rsidRDefault="00F549EE" w:rsidP="00AA68B6"/>
    <w:p w:rsidR="00F549EE" w:rsidRDefault="00F549EE" w:rsidP="00AA68B6"/>
    <w:p w:rsidR="00F549EE" w:rsidRPr="00F549EE" w:rsidRDefault="00F549EE" w:rsidP="00AA68B6"/>
    <w:sectPr w:rsidR="00F549EE" w:rsidRPr="00F549E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1E74E8"/>
    <w:multiLevelType w:val="hybridMultilevel"/>
    <w:tmpl w:val="4CB88FE6"/>
    <w:lvl w:ilvl="0" w:tplc="05328816">
      <w:start w:val="2"/>
      <w:numFmt w:val="bullet"/>
      <w:lvlText w:val="-"/>
      <w:lvlJc w:val="left"/>
      <w:pPr>
        <w:ind w:left="720" w:hanging="360"/>
      </w:pPr>
      <w:rPr>
        <w:rFonts w:ascii="Calibri" w:eastAsiaTheme="minorHAnsi" w:hAnsi="Calibri"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1AF09FA"/>
    <w:multiLevelType w:val="hybridMultilevel"/>
    <w:tmpl w:val="AC1AF1B2"/>
    <w:lvl w:ilvl="0" w:tplc="468AA26C">
      <w:start w:val="1"/>
      <w:numFmt w:val="bullet"/>
      <w:lvlText w:val="-"/>
      <w:lvlJc w:val="left"/>
      <w:pPr>
        <w:ind w:left="1080" w:hanging="360"/>
      </w:pPr>
      <w:rPr>
        <w:rFonts w:ascii="Calibri" w:eastAsiaTheme="minorHAnsi" w:hAnsi="Calibri" w:cstheme="minorBidi" w:hint="default"/>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278B493F"/>
    <w:multiLevelType w:val="hybridMultilevel"/>
    <w:tmpl w:val="A6F0DCD4"/>
    <w:lvl w:ilvl="0" w:tplc="A8C2CC78">
      <w:start w:val="1"/>
      <w:numFmt w:val="upperLetter"/>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AEA6253"/>
    <w:multiLevelType w:val="hybridMultilevel"/>
    <w:tmpl w:val="D46266D4"/>
    <w:lvl w:ilvl="0" w:tplc="F9FCE6FC">
      <w:start w:val="1"/>
      <w:numFmt w:val="bullet"/>
      <w:lvlText w:val="-"/>
      <w:lvlJc w:val="left"/>
      <w:pPr>
        <w:ind w:left="1080" w:hanging="360"/>
      </w:pPr>
      <w:rPr>
        <w:rFonts w:ascii="Calibri" w:eastAsiaTheme="minorEastAsia" w:hAnsi="Calibri" w:cstheme="minorBidi" w:hint="default"/>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 w15:restartNumberingAfterBreak="0">
    <w:nsid w:val="4DDA7381"/>
    <w:multiLevelType w:val="hybridMultilevel"/>
    <w:tmpl w:val="76807D9C"/>
    <w:lvl w:ilvl="0" w:tplc="534ABA4A">
      <w:start w:val="1"/>
      <w:numFmt w:val="lowerLetter"/>
      <w:lvlText w:val="%1)"/>
      <w:lvlJc w:val="left"/>
      <w:pPr>
        <w:ind w:left="720" w:hanging="360"/>
      </w:pPr>
      <w:rPr>
        <w:rFonts w:asciiTheme="minorHAnsi" w:eastAsiaTheme="minorHAnsi" w:hAnsiTheme="minorHAnsi" w:cstheme="minorBidi"/>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47264B1"/>
    <w:multiLevelType w:val="hybridMultilevel"/>
    <w:tmpl w:val="7ADCEED0"/>
    <w:lvl w:ilvl="0" w:tplc="FAAADD26">
      <w:start w:val="5"/>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8B6"/>
    <w:rsid w:val="00053DB8"/>
    <w:rsid w:val="00267D73"/>
    <w:rsid w:val="00554C9B"/>
    <w:rsid w:val="00962FD6"/>
    <w:rsid w:val="00AA68B6"/>
    <w:rsid w:val="00BD652D"/>
    <w:rsid w:val="00DA425D"/>
    <w:rsid w:val="00DD6520"/>
    <w:rsid w:val="00F549E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3A754E-096B-46EA-918E-6DC1847AD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AA68B6"/>
    <w:pPr>
      <w:ind w:left="720"/>
      <w:contextualSpacing/>
    </w:pPr>
  </w:style>
  <w:style w:type="character" w:styleId="Platzhaltertext">
    <w:name w:val="Placeholder Text"/>
    <w:basedOn w:val="Absatz-Standardschriftart"/>
    <w:uiPriority w:val="99"/>
    <w:semiHidden/>
    <w:rsid w:val="00554C9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808</Words>
  <Characters>5097</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Klaas</dc:creator>
  <cp:keywords/>
  <dc:description/>
  <cp:lastModifiedBy>Martina Klaas</cp:lastModifiedBy>
  <cp:revision>2</cp:revision>
  <dcterms:created xsi:type="dcterms:W3CDTF">2015-05-22T06:14:00Z</dcterms:created>
  <dcterms:modified xsi:type="dcterms:W3CDTF">2015-05-22T07:31:00Z</dcterms:modified>
</cp:coreProperties>
</file>