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14A" w:rsidRDefault="0095314A" w:rsidP="0095314A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</w:rPr>
      </w:pPr>
      <w:r>
        <w:rPr>
          <w:rFonts w:cs="Arial"/>
          <w:color w:val="000080"/>
          <w:szCs w:val="22"/>
        </w:rPr>
        <w:t xml:space="preserve">Neben den </w:t>
      </w:r>
      <w:proofErr w:type="spellStart"/>
      <w:r>
        <w:rPr>
          <w:rFonts w:cs="Arial"/>
          <w:color w:val="000080"/>
          <w:szCs w:val="22"/>
        </w:rPr>
        <w:t>trend</w:t>
      </w:r>
      <w:proofErr w:type="spellEnd"/>
      <w:r>
        <w:rPr>
          <w:rFonts w:cs="Arial"/>
          <w:color w:val="000080"/>
          <w:szCs w:val="22"/>
        </w:rPr>
        <w:t>-/saisonalen Einflüssen</w:t>
      </w:r>
      <w:r w:rsidRPr="00586CAD">
        <w:rPr>
          <w:rFonts w:cs="Arial"/>
          <w:color w:val="000080"/>
          <w:szCs w:val="22"/>
        </w:rPr>
        <w:t xml:space="preserve"> </w:t>
      </w:r>
      <w:r>
        <w:rPr>
          <w:rFonts w:cs="Arial"/>
          <w:color w:val="000080"/>
          <w:szCs w:val="22"/>
        </w:rPr>
        <w:t xml:space="preserve">kann die Winters Methode auch für Zeitreihen verwendet werden, die lediglich nur einen Trend aufweisen. </w:t>
      </w:r>
    </w:p>
    <w:p w:rsidR="0095314A" w:rsidRDefault="0095314A" w:rsidP="0095314A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</w:rPr>
      </w:pPr>
    </w:p>
    <w:p w:rsidR="0095314A" w:rsidRDefault="0095314A" w:rsidP="0095314A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</w:rPr>
      </w:pPr>
      <w:r>
        <w:rPr>
          <w:rFonts w:cs="Arial"/>
          <w:color w:val="000080"/>
          <w:szCs w:val="22"/>
        </w:rPr>
        <w:t>Mit folgender Formel können Trendverläufe prognostiziert werden:</w:t>
      </w:r>
    </w:p>
    <w:p w:rsidR="0095314A" w:rsidRDefault="0095314A" w:rsidP="0095314A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</w:rPr>
      </w:pPr>
    </w:p>
    <w:tbl>
      <w:tblPr>
        <w:tblStyle w:val="Tabellengitternetz"/>
        <w:tblW w:w="0" w:type="auto"/>
        <w:jc w:val="center"/>
        <w:tblLook w:val="04A0"/>
      </w:tblPr>
      <w:tblGrid>
        <w:gridCol w:w="4911"/>
      </w:tblGrid>
      <w:tr w:rsidR="00C6080B" w:rsidTr="00C6080B">
        <w:trPr>
          <w:trHeight w:val="1551"/>
          <w:jc w:val="center"/>
        </w:trPr>
        <w:tc>
          <w:tcPr>
            <w:tcW w:w="4911" w:type="dxa"/>
          </w:tcPr>
          <w:p w:rsidR="00C6080B" w:rsidRDefault="00C6080B" w:rsidP="00C6080B">
            <w:pPr>
              <w:autoSpaceDE w:val="0"/>
              <w:autoSpaceDN w:val="0"/>
              <w:adjustRightInd w:val="0"/>
              <w:spacing w:before="0" w:after="0" w:line="360" w:lineRule="auto"/>
              <w:jc w:val="center"/>
              <w:rPr>
                <w:rFonts w:cs="Arial"/>
                <w:color w:val="000080"/>
              </w:rPr>
            </w:pPr>
            <w:r w:rsidRPr="00C6080B">
              <w:rPr>
                <w:rFonts w:cs="Arial"/>
                <w:b/>
                <w:color w:val="000080"/>
                <w:position w:val="-54"/>
                <w:szCs w:val="24"/>
                <w:lang w:eastAsia="de-DE"/>
              </w:rPr>
              <w:object w:dxaOrig="3540" w:dyaOrig="11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14.2pt;height:70.2pt" o:ole="">
                  <v:imagedata r:id="rId4" o:title=""/>
                </v:shape>
                <o:OLEObject Type="Embed" ProgID="Equation.3" ShapeID="_x0000_i1025" DrawAspect="Content" ObjectID="_1465384733" r:id="rId5"/>
              </w:object>
            </w:r>
          </w:p>
        </w:tc>
      </w:tr>
    </w:tbl>
    <w:p w:rsidR="00C6080B" w:rsidRDefault="00C6080B" w:rsidP="0095314A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</w:rPr>
      </w:pPr>
    </w:p>
    <w:p w:rsidR="0095314A" w:rsidRDefault="00C6080B" w:rsidP="0095314A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</w:rPr>
      </w:pPr>
      <w:r>
        <w:rPr>
          <w:rFonts w:cs="Arial"/>
          <w:color w:val="000080"/>
          <w:szCs w:val="22"/>
        </w:rPr>
        <w:t>J</w:t>
      </w:r>
      <w:r w:rsidR="0095314A" w:rsidRPr="00943874">
        <w:rPr>
          <w:rFonts w:cs="Arial"/>
          <w:color w:val="000080"/>
          <w:szCs w:val="22"/>
        </w:rPr>
        <w:t>e höher Beta, desto stärker reagiert die Prognose auf den aktuellen Trend</w:t>
      </w:r>
      <w:r w:rsidR="0095314A">
        <w:rPr>
          <w:rFonts w:cs="Arial"/>
          <w:color w:val="000080"/>
          <w:szCs w:val="22"/>
        </w:rPr>
        <w:t>.</w:t>
      </w:r>
    </w:p>
    <w:p w:rsidR="00892878" w:rsidRDefault="00892878" w:rsidP="00892878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  <w:r>
        <w:rPr>
          <w:rFonts w:cs="Arial"/>
          <w:color w:val="000080"/>
          <w:szCs w:val="22"/>
          <w:lang w:eastAsia="de-DE"/>
        </w:rPr>
        <w:t>Die Initialisierung des Verfahrens erfolgt in der ersten Saison mit:</w:t>
      </w:r>
    </w:p>
    <w:p w:rsidR="00892878" w:rsidRDefault="00892878" w:rsidP="00892878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</w:p>
    <w:tbl>
      <w:tblPr>
        <w:tblW w:w="0" w:type="auto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41"/>
      </w:tblGrid>
      <w:tr w:rsidR="00892878" w:rsidTr="00892878">
        <w:trPr>
          <w:trHeight w:val="1417"/>
          <w:jc w:val="center"/>
        </w:trPr>
        <w:tc>
          <w:tcPr>
            <w:tcW w:w="2341" w:type="dxa"/>
          </w:tcPr>
          <w:p w:rsidR="00892878" w:rsidRPr="001F41FB" w:rsidRDefault="00892878" w:rsidP="0089287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TimesNewRomanPSMT" w:cs="Arial"/>
                <w:color w:val="000080"/>
              </w:rPr>
            </w:pPr>
            <w:r w:rsidRPr="00892878">
              <w:rPr>
                <w:rFonts w:cs="Arial"/>
                <w:b/>
                <w:color w:val="000080"/>
                <w:position w:val="-46"/>
                <w:szCs w:val="22"/>
                <w:lang w:eastAsia="de-DE"/>
              </w:rPr>
              <w:object w:dxaOrig="1219" w:dyaOrig="1040">
                <v:shape id="_x0000_i1026" type="#_x0000_t75" style="width:73.8pt;height:63pt" o:ole="">
                  <v:imagedata r:id="rId6" o:title=""/>
                </v:shape>
                <o:OLEObject Type="Embed" ProgID="Equation.3" ShapeID="_x0000_i1026" DrawAspect="Content" ObjectID="_1465384734" r:id="rId7"/>
              </w:object>
            </w:r>
          </w:p>
        </w:tc>
      </w:tr>
    </w:tbl>
    <w:p w:rsidR="00892878" w:rsidRDefault="00892878" w:rsidP="00892878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</w:p>
    <w:p w:rsidR="0095314A" w:rsidRPr="00943874" w:rsidRDefault="0095314A" w:rsidP="0095314A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</w:rPr>
      </w:pPr>
    </w:p>
    <w:p w:rsidR="0095314A" w:rsidRDefault="0095314A" w:rsidP="0095314A">
      <w:pPr>
        <w:autoSpaceDE w:val="0"/>
        <w:autoSpaceDN w:val="0"/>
        <w:adjustRightInd w:val="0"/>
        <w:spacing w:line="360" w:lineRule="auto"/>
        <w:jc w:val="both"/>
        <w:rPr>
          <w:rFonts w:eastAsia="TimesNewRomanPSMT" w:cs="Arial"/>
          <w:color w:val="000000" w:themeColor="text1"/>
          <w:szCs w:val="22"/>
          <w:u w:val="single"/>
        </w:rPr>
      </w:pPr>
      <w:r w:rsidRPr="0039186F">
        <w:rPr>
          <w:rFonts w:eastAsia="TimesNewRomanPSMT" w:cs="Arial"/>
          <w:noProof/>
          <w:color w:val="000000" w:themeColor="text1"/>
          <w:szCs w:val="22"/>
          <w:lang w:eastAsia="de-DE"/>
        </w:rPr>
        <w:drawing>
          <wp:inline distT="0" distB="0" distL="0" distR="0">
            <wp:extent cx="301625" cy="301625"/>
            <wp:effectExtent l="19050" t="0" r="3175" b="0"/>
            <wp:docPr id="457" name="Bild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30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cs="Arial"/>
          <w:color w:val="000000" w:themeColor="text1"/>
          <w:szCs w:val="22"/>
          <w:u w:val="single"/>
          <w:lang w:eastAsia="de-DE"/>
        </w:rPr>
        <w:t>Glättungsfaktor Alpha 0,2, Beta 0,1</w:t>
      </w:r>
      <w:r w:rsidRPr="00A84856">
        <w:rPr>
          <w:rFonts w:eastAsia="TimesNewRomanPSMT" w:cs="Arial"/>
          <w:color w:val="000000" w:themeColor="text1"/>
          <w:szCs w:val="22"/>
          <w:u w:val="single"/>
        </w:rPr>
        <w:t>:</w:t>
      </w:r>
    </w:p>
    <w:tbl>
      <w:tblPr>
        <w:tblW w:w="6454" w:type="dxa"/>
        <w:jc w:val="center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031"/>
        <w:gridCol w:w="1399"/>
        <w:gridCol w:w="1240"/>
        <w:gridCol w:w="1472"/>
        <w:gridCol w:w="1312"/>
      </w:tblGrid>
      <w:tr w:rsidR="00892878" w:rsidRPr="008136D6" w:rsidTr="00892878">
        <w:trPr>
          <w:trHeight w:val="555"/>
          <w:jc w:val="center"/>
        </w:trPr>
        <w:tc>
          <w:tcPr>
            <w:tcW w:w="1031" w:type="dxa"/>
            <w:shd w:val="clear" w:color="auto" w:fill="E0E0E0"/>
            <w:noWrap/>
            <w:vAlign w:val="bottom"/>
          </w:tcPr>
          <w:p w:rsidR="00892878" w:rsidRPr="008136D6" w:rsidRDefault="00892878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Monat</w:t>
            </w:r>
          </w:p>
        </w:tc>
        <w:tc>
          <w:tcPr>
            <w:tcW w:w="1399" w:type="dxa"/>
            <w:shd w:val="clear" w:color="auto" w:fill="E0E0E0"/>
            <w:vAlign w:val="bottom"/>
          </w:tcPr>
          <w:p w:rsidR="00892878" w:rsidRPr="008136D6" w:rsidRDefault="00892878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Verbrauchs- werte</w:t>
            </w:r>
          </w:p>
        </w:tc>
        <w:tc>
          <w:tcPr>
            <w:tcW w:w="1240" w:type="dxa"/>
            <w:shd w:val="clear" w:color="auto" w:fill="E0E0E0"/>
            <w:vAlign w:val="bottom"/>
          </w:tcPr>
          <w:p w:rsidR="00892878" w:rsidRPr="008136D6" w:rsidRDefault="00892878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Niveau- Komponente</w:t>
            </w:r>
          </w:p>
        </w:tc>
        <w:tc>
          <w:tcPr>
            <w:tcW w:w="1472" w:type="dxa"/>
            <w:shd w:val="clear" w:color="auto" w:fill="E0E0E0"/>
            <w:vAlign w:val="bottom"/>
          </w:tcPr>
          <w:p w:rsidR="00892878" w:rsidRPr="008136D6" w:rsidRDefault="00892878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Trend- Komponente</w:t>
            </w:r>
          </w:p>
        </w:tc>
        <w:tc>
          <w:tcPr>
            <w:tcW w:w="1312" w:type="dxa"/>
            <w:shd w:val="clear" w:color="auto" w:fill="E0E0E0"/>
            <w:vAlign w:val="bottom"/>
          </w:tcPr>
          <w:p w:rsidR="00892878" w:rsidRPr="008136D6" w:rsidRDefault="00892878" w:rsidP="00AE2CBE">
            <w:pPr>
              <w:spacing w:before="0" w:after="0"/>
              <w:jc w:val="center"/>
              <w:rPr>
                <w:rFonts w:cs="Arial"/>
                <w:b/>
                <w:bCs/>
                <w:color w:val="000099"/>
                <w:sz w:val="16"/>
                <w:szCs w:val="16"/>
                <w:lang w:eastAsia="de-DE"/>
              </w:rPr>
            </w:pPr>
            <w:proofErr w:type="spellStart"/>
            <w:r w:rsidRPr="008136D6">
              <w:rPr>
                <w:rFonts w:cs="Arial"/>
                <w:b/>
                <w:bCs/>
                <w:color w:val="000099"/>
                <w:sz w:val="16"/>
                <w:szCs w:val="16"/>
                <w:lang w:eastAsia="de-DE"/>
              </w:rPr>
              <w:t>Prognosewert</w:t>
            </w:r>
            <w:proofErr w:type="spellEnd"/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10</w:t>
            </w:r>
          </w:p>
        </w:tc>
      </w:tr>
      <w:tr w:rsidR="00C63471" w:rsidRPr="008136D6" w:rsidTr="00892878">
        <w:trPr>
          <w:trHeight w:val="296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20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30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30</w:t>
            </w:r>
          </w:p>
        </w:tc>
      </w:tr>
      <w:tr w:rsidR="00C63471" w:rsidRPr="008136D6" w:rsidTr="00892878">
        <w:trPr>
          <w:trHeight w:val="36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40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40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50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50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60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60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70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70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80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80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90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90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100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100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110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110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120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65,00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120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lastRenderedPageBreak/>
              <w:t>Jan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130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78,00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1,30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65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140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91,44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2,51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79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150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105,16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3,63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94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160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119,04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4,66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109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170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132,96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5,59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124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180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146,83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6,41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139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190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160,60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7,15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153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200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174,20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7,79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168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210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187,59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8,35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182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220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200,76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8,84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196</w:t>
            </w:r>
          </w:p>
        </w:tc>
      </w:tr>
      <w:tr w:rsidR="00C63471" w:rsidRPr="008136D6" w:rsidTr="00892878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230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213,68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9,24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210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240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226,34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9,59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223</w:t>
            </w:r>
          </w:p>
        </w:tc>
      </w:tr>
      <w:tr w:rsidR="00C63471" w:rsidRPr="008136D6" w:rsidTr="00A83AD6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250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238,74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9,87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236</w:t>
            </w:r>
          </w:p>
        </w:tc>
      </w:tr>
      <w:tr w:rsidR="00C63471" w:rsidRPr="008136D6" w:rsidTr="00A83AD6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260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250,88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10,09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249</w:t>
            </w:r>
          </w:p>
        </w:tc>
      </w:tr>
      <w:tr w:rsidR="00C63471" w:rsidRPr="008136D6" w:rsidTr="00A83AD6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270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262,78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10,28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261</w:t>
            </w:r>
          </w:p>
        </w:tc>
      </w:tr>
      <w:tr w:rsidR="00C63471" w:rsidRPr="008136D6" w:rsidTr="00A83AD6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280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274,45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10,41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273</w:t>
            </w:r>
          </w:p>
        </w:tc>
      </w:tr>
      <w:tr w:rsidR="00C63471" w:rsidRPr="008136D6" w:rsidTr="00A83AD6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290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285,89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10,52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285</w:t>
            </w:r>
          </w:p>
        </w:tc>
      </w:tr>
      <w:tr w:rsidR="00C63471" w:rsidRPr="008136D6" w:rsidTr="00A83AD6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300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297,12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10,59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296</w:t>
            </w:r>
          </w:p>
        </w:tc>
      </w:tr>
      <w:tr w:rsidR="00C63471" w:rsidRPr="008136D6" w:rsidTr="00A83AD6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310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308,17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10,63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308</w:t>
            </w:r>
          </w:p>
        </w:tc>
      </w:tr>
      <w:tr w:rsidR="00C63471" w:rsidRPr="008136D6" w:rsidTr="00A83AD6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320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319,04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10,66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319</w:t>
            </w:r>
          </w:p>
        </w:tc>
      </w:tr>
      <w:tr w:rsidR="00C63471" w:rsidRPr="008136D6" w:rsidTr="00A83AD6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330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329,76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10,66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330</w:t>
            </w:r>
          </w:p>
        </w:tc>
      </w:tr>
      <w:tr w:rsidR="00C63471" w:rsidRPr="008136D6" w:rsidTr="00A83AD6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340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340,34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10,66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340</w:t>
            </w:r>
          </w:p>
        </w:tc>
      </w:tr>
      <w:tr w:rsidR="00C63471" w:rsidRPr="008136D6" w:rsidTr="00A83AD6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350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350,80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10,64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351</w:t>
            </w:r>
          </w:p>
        </w:tc>
      </w:tr>
      <w:tr w:rsidR="00C63471" w:rsidRPr="008136D6" w:rsidTr="00A83AD6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C63471" w:rsidRPr="00AF0DCD" w:rsidRDefault="00C63471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AF0DCD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360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361,15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sz w:val="16"/>
                <w:szCs w:val="16"/>
              </w:rPr>
            </w:pPr>
            <w:r w:rsidRPr="00C63471">
              <w:rPr>
                <w:rFonts w:cs="Arial"/>
                <w:sz w:val="16"/>
                <w:szCs w:val="16"/>
              </w:rPr>
              <w:t>10,61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361</w:t>
            </w:r>
          </w:p>
        </w:tc>
      </w:tr>
      <w:tr w:rsidR="00C63471" w:rsidRPr="008136D6" w:rsidTr="00C63471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tcBorders>
              <w:bottom w:val="single" w:sz="4" w:space="0" w:color="auto"/>
            </w:tcBorders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372</w:t>
            </w:r>
          </w:p>
        </w:tc>
      </w:tr>
      <w:tr w:rsidR="00C63471" w:rsidRPr="008136D6" w:rsidTr="00C63471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382</w:t>
            </w:r>
          </w:p>
        </w:tc>
      </w:tr>
      <w:tr w:rsidR="00C63471" w:rsidRPr="008136D6" w:rsidTr="00C63471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393</w:t>
            </w:r>
          </w:p>
        </w:tc>
      </w:tr>
      <w:tr w:rsidR="00C63471" w:rsidRPr="008136D6" w:rsidTr="00C63471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404</w:t>
            </w:r>
          </w:p>
        </w:tc>
      </w:tr>
      <w:tr w:rsidR="00C63471" w:rsidRPr="008136D6" w:rsidTr="00C63471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414</w:t>
            </w:r>
          </w:p>
        </w:tc>
      </w:tr>
      <w:tr w:rsidR="00C63471" w:rsidRPr="008136D6" w:rsidTr="00C63471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425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435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446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lastRenderedPageBreak/>
              <w:t>Sep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457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467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478</w:t>
            </w:r>
          </w:p>
        </w:tc>
      </w:tr>
      <w:tr w:rsidR="00C63471" w:rsidRPr="008136D6" w:rsidTr="00892878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C63471" w:rsidRPr="008136D6" w:rsidRDefault="00C63471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C63471" w:rsidRPr="008136D6" w:rsidRDefault="00C63471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C63471" w:rsidRPr="00C63471" w:rsidRDefault="00C63471" w:rsidP="00C63471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C63471">
              <w:rPr>
                <w:rFonts w:cs="Arial"/>
                <w:b/>
                <w:sz w:val="16"/>
                <w:szCs w:val="16"/>
              </w:rPr>
              <w:t>488</w:t>
            </w:r>
          </w:p>
        </w:tc>
      </w:tr>
    </w:tbl>
    <w:p w:rsidR="00892878" w:rsidRDefault="00892878" w:rsidP="0095314A">
      <w:pPr>
        <w:autoSpaceDE w:val="0"/>
        <w:autoSpaceDN w:val="0"/>
        <w:adjustRightInd w:val="0"/>
        <w:spacing w:line="360" w:lineRule="auto"/>
        <w:jc w:val="both"/>
        <w:rPr>
          <w:rFonts w:eastAsia="TimesNewRomanPSMT" w:cs="Arial"/>
          <w:color w:val="000000" w:themeColor="text1"/>
          <w:szCs w:val="22"/>
          <w:u w:val="single"/>
        </w:rPr>
      </w:pPr>
    </w:p>
    <w:p w:rsidR="0095314A" w:rsidRPr="00A84856" w:rsidRDefault="0095314A" w:rsidP="0095314A">
      <w:pPr>
        <w:autoSpaceDE w:val="0"/>
        <w:autoSpaceDN w:val="0"/>
        <w:adjustRightInd w:val="0"/>
        <w:spacing w:line="360" w:lineRule="auto"/>
        <w:rPr>
          <w:rFonts w:eastAsia="TimesNewRomanPSMT" w:cs="Arial"/>
          <w:color w:val="000000" w:themeColor="text1"/>
          <w:u w:val="single"/>
        </w:rPr>
      </w:pPr>
      <w:r w:rsidRPr="00A84856">
        <w:rPr>
          <w:rFonts w:eastAsia="TimesNewRomanPSMT" w:cs="Arial"/>
          <w:color w:val="000000" w:themeColor="text1"/>
          <w:u w:val="single"/>
        </w:rPr>
        <w:t>Grafisches Ergebnis:</w:t>
      </w:r>
    </w:p>
    <w:p w:rsidR="0095314A" w:rsidRDefault="005E13A5" w:rsidP="0095314A">
      <w:pPr>
        <w:autoSpaceDE w:val="0"/>
        <w:autoSpaceDN w:val="0"/>
        <w:adjustRightInd w:val="0"/>
        <w:spacing w:before="0" w:after="0" w:line="360" w:lineRule="auto"/>
        <w:jc w:val="center"/>
      </w:pPr>
      <w:r w:rsidRPr="005E13A5">
        <w:drawing>
          <wp:inline distT="0" distB="0" distL="0" distR="0">
            <wp:extent cx="5334811" cy="1536970"/>
            <wp:effectExtent l="19050" t="0" r="18239" b="6080"/>
            <wp:docPr id="1" name="Diagramm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11DB9" w:rsidRDefault="00A11DB9"/>
    <w:sectPr w:rsidR="00A11DB9" w:rsidSect="00C6347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Japanese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5314A"/>
    <w:rsid w:val="005E13A5"/>
    <w:rsid w:val="00892878"/>
    <w:rsid w:val="0095314A"/>
    <w:rsid w:val="00A11DB9"/>
    <w:rsid w:val="00A375A5"/>
    <w:rsid w:val="00B33E05"/>
    <w:rsid w:val="00C6080B"/>
    <w:rsid w:val="00C634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5314A"/>
    <w:pPr>
      <w:spacing w:before="120" w:after="120" w:line="240" w:lineRule="auto"/>
    </w:pPr>
    <w:rPr>
      <w:rFonts w:ascii="Arial" w:eastAsia="Times New Roman" w:hAnsi="Arial" w:cs="Times New Roman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314A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314A"/>
    <w:rPr>
      <w:rFonts w:ascii="Tahoma" w:eastAsia="Times New Roman" w:hAnsi="Tahoma" w:cs="Tahoma"/>
      <w:sz w:val="16"/>
      <w:szCs w:val="16"/>
    </w:rPr>
  </w:style>
  <w:style w:type="table" w:styleId="Tabellengitternetz">
    <w:name w:val="Table Grid"/>
    <w:basedOn w:val="NormaleTabelle"/>
    <w:uiPriority w:val="59"/>
    <w:rsid w:val="00C608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930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9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wmf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ispo%20Cockpit\Anpassungen%20DCF\Bugs\4032%20-%20&#220;berarbeitung%20Winters%20Verfahren\Winteres%20Trend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de-DE"/>
  <c:style val="3"/>
  <c:chart>
    <c:plotArea>
      <c:layout>
        <c:manualLayout>
          <c:layoutTarget val="inner"/>
          <c:xMode val="edge"/>
          <c:yMode val="edge"/>
          <c:x val="8.1682142559576704E-2"/>
          <c:y val="9.174024216477876E-2"/>
          <c:w val="0.64542313251083572"/>
          <c:h val="0.80210804374841405"/>
        </c:manualLayout>
      </c:layout>
      <c:barChart>
        <c:barDir val="col"/>
        <c:grouping val="clustered"/>
        <c:ser>
          <c:idx val="0"/>
          <c:order val="0"/>
          <c:tx>
            <c:v>Verbrauchswert</c:v>
          </c:tx>
          <c:cat>
            <c:numRef>
              <c:f>'[Winters additiv.xlsx]Tabelle2'!$D$27:$D$74</c:f>
              <c:numCache>
                <c:formatCode>General</c:formatCode>
                <c:ptCount val="48"/>
              </c:numCache>
            </c:numRef>
          </c:cat>
          <c:val>
            <c:numRef>
              <c:f>Tabelle1!$B$2:$B$37</c:f>
              <c:numCache>
                <c:formatCode>General</c:formatCode>
                <c:ptCount val="36"/>
                <c:pt idx="0">
                  <c:v>10</c:v>
                </c:pt>
                <c:pt idx="1">
                  <c:v>20</c:v>
                </c:pt>
                <c:pt idx="2">
                  <c:v>30</c:v>
                </c:pt>
                <c:pt idx="3">
                  <c:v>40</c:v>
                </c:pt>
                <c:pt idx="4">
                  <c:v>50</c:v>
                </c:pt>
                <c:pt idx="5">
                  <c:v>60</c:v>
                </c:pt>
                <c:pt idx="6">
                  <c:v>70</c:v>
                </c:pt>
                <c:pt idx="7">
                  <c:v>80</c:v>
                </c:pt>
                <c:pt idx="8">
                  <c:v>90</c:v>
                </c:pt>
                <c:pt idx="9">
                  <c:v>100</c:v>
                </c:pt>
                <c:pt idx="10">
                  <c:v>110</c:v>
                </c:pt>
                <c:pt idx="11">
                  <c:v>120</c:v>
                </c:pt>
                <c:pt idx="12">
                  <c:v>130</c:v>
                </c:pt>
                <c:pt idx="13">
                  <c:v>140</c:v>
                </c:pt>
                <c:pt idx="14">
                  <c:v>150</c:v>
                </c:pt>
                <c:pt idx="15">
                  <c:v>160</c:v>
                </c:pt>
                <c:pt idx="16">
                  <c:v>170</c:v>
                </c:pt>
                <c:pt idx="17">
                  <c:v>180</c:v>
                </c:pt>
                <c:pt idx="18">
                  <c:v>190</c:v>
                </c:pt>
                <c:pt idx="19">
                  <c:v>200</c:v>
                </c:pt>
                <c:pt idx="20">
                  <c:v>210</c:v>
                </c:pt>
                <c:pt idx="21">
                  <c:v>220</c:v>
                </c:pt>
                <c:pt idx="22">
                  <c:v>230</c:v>
                </c:pt>
                <c:pt idx="23">
                  <c:v>240</c:v>
                </c:pt>
                <c:pt idx="24">
                  <c:v>250</c:v>
                </c:pt>
                <c:pt idx="25">
                  <c:v>260</c:v>
                </c:pt>
                <c:pt idx="26">
                  <c:v>270</c:v>
                </c:pt>
                <c:pt idx="27">
                  <c:v>280</c:v>
                </c:pt>
                <c:pt idx="28">
                  <c:v>290</c:v>
                </c:pt>
                <c:pt idx="29">
                  <c:v>300</c:v>
                </c:pt>
                <c:pt idx="30">
                  <c:v>310</c:v>
                </c:pt>
                <c:pt idx="31">
                  <c:v>320</c:v>
                </c:pt>
                <c:pt idx="32">
                  <c:v>330</c:v>
                </c:pt>
                <c:pt idx="33">
                  <c:v>340</c:v>
                </c:pt>
                <c:pt idx="34">
                  <c:v>350</c:v>
                </c:pt>
                <c:pt idx="35">
                  <c:v>360</c:v>
                </c:pt>
              </c:numCache>
            </c:numRef>
          </c:val>
        </c:ser>
        <c:ser>
          <c:idx val="1"/>
          <c:order val="1"/>
          <c:tx>
            <c:v>Prognosewerte</c:v>
          </c:tx>
          <c:val>
            <c:numRef>
              <c:f>Tabelle1!$M$2:$M$49</c:f>
              <c:numCache>
                <c:formatCode>0</c:formatCode>
                <c:ptCount val="48"/>
                <c:pt idx="0">
                  <c:v>10</c:v>
                </c:pt>
                <c:pt idx="1">
                  <c:v>20</c:v>
                </c:pt>
                <c:pt idx="2">
                  <c:v>30</c:v>
                </c:pt>
                <c:pt idx="3">
                  <c:v>40</c:v>
                </c:pt>
                <c:pt idx="4">
                  <c:v>50</c:v>
                </c:pt>
                <c:pt idx="5">
                  <c:v>60</c:v>
                </c:pt>
                <c:pt idx="6">
                  <c:v>70</c:v>
                </c:pt>
                <c:pt idx="7">
                  <c:v>80</c:v>
                </c:pt>
                <c:pt idx="8">
                  <c:v>90</c:v>
                </c:pt>
                <c:pt idx="9">
                  <c:v>100</c:v>
                </c:pt>
                <c:pt idx="10">
                  <c:v>110</c:v>
                </c:pt>
                <c:pt idx="11">
                  <c:v>120</c:v>
                </c:pt>
                <c:pt idx="12">
                  <c:v>65</c:v>
                </c:pt>
                <c:pt idx="13">
                  <c:v>79.3</c:v>
                </c:pt>
                <c:pt idx="14">
                  <c:v>93.953999999999994</c:v>
                </c:pt>
                <c:pt idx="15">
                  <c:v>108.798</c:v>
                </c:pt>
                <c:pt idx="16">
                  <c:v>123.697</c:v>
                </c:pt>
                <c:pt idx="17">
                  <c:v>138.54299999999998</c:v>
                </c:pt>
                <c:pt idx="18">
                  <c:v>153.24899999999997</c:v>
                </c:pt>
                <c:pt idx="19">
                  <c:v>167.74799999999999</c:v>
                </c:pt>
                <c:pt idx="20">
                  <c:v>181.99300000000002</c:v>
                </c:pt>
                <c:pt idx="21">
                  <c:v>195.94800000000001</c:v>
                </c:pt>
                <c:pt idx="22">
                  <c:v>209.59399999999999</c:v>
                </c:pt>
                <c:pt idx="23">
                  <c:v>222.91899999999998</c:v>
                </c:pt>
                <c:pt idx="24">
                  <c:v>235.92000000000002</c:v>
                </c:pt>
                <c:pt idx="25">
                  <c:v>248.60299999999998</c:v>
                </c:pt>
                <c:pt idx="26">
                  <c:v>260.97699999999986</c:v>
                </c:pt>
                <c:pt idx="27">
                  <c:v>273.05700000000002</c:v>
                </c:pt>
                <c:pt idx="28">
                  <c:v>284.85899999999992</c:v>
                </c:pt>
                <c:pt idx="29">
                  <c:v>296.404</c:v>
                </c:pt>
                <c:pt idx="30">
                  <c:v>307.71199999999993</c:v>
                </c:pt>
                <c:pt idx="31">
                  <c:v>318.80399999999992</c:v>
                </c:pt>
                <c:pt idx="32">
                  <c:v>329.702</c:v>
                </c:pt>
                <c:pt idx="33">
                  <c:v>340.42599999999993</c:v>
                </c:pt>
                <c:pt idx="34">
                  <c:v>350.99599999999987</c:v>
                </c:pt>
                <c:pt idx="35">
                  <c:v>361.43299999999994</c:v>
                </c:pt>
                <c:pt idx="36">
                  <c:v>371.75400000000002</c:v>
                </c:pt>
                <c:pt idx="37">
                  <c:v>382.36099999999999</c:v>
                </c:pt>
                <c:pt idx="38">
                  <c:v>392.96799999999996</c:v>
                </c:pt>
                <c:pt idx="39">
                  <c:v>403.57499999999999</c:v>
                </c:pt>
                <c:pt idx="40">
                  <c:v>414.18299999999999</c:v>
                </c:pt>
                <c:pt idx="41">
                  <c:v>424.78999999999996</c:v>
                </c:pt>
                <c:pt idx="42">
                  <c:v>435.39699999999993</c:v>
                </c:pt>
                <c:pt idx="43">
                  <c:v>446.005</c:v>
                </c:pt>
                <c:pt idx="44">
                  <c:v>456.61200000000002</c:v>
                </c:pt>
                <c:pt idx="45">
                  <c:v>467.21899999999994</c:v>
                </c:pt>
                <c:pt idx="46">
                  <c:v>477.82599999999996</c:v>
                </c:pt>
                <c:pt idx="47">
                  <c:v>488.43400000000003</c:v>
                </c:pt>
              </c:numCache>
            </c:numRef>
          </c:val>
        </c:ser>
        <c:axId val="76054528"/>
        <c:axId val="76056064"/>
      </c:barChart>
      <c:catAx>
        <c:axId val="76054528"/>
        <c:scaling>
          <c:orientation val="minMax"/>
        </c:scaling>
        <c:axPos val="b"/>
        <c:numFmt formatCode="General" sourceLinked="1"/>
        <c:tickLblPos val="nextTo"/>
        <c:crossAx val="76056064"/>
        <c:crosses val="autoZero"/>
        <c:auto val="1"/>
        <c:lblAlgn val="ctr"/>
        <c:lblOffset val="100"/>
        <c:tickLblSkip val="1"/>
      </c:catAx>
      <c:valAx>
        <c:axId val="76056064"/>
        <c:scaling>
          <c:orientation val="minMax"/>
        </c:scaling>
        <c:axPos val="l"/>
        <c:majorGridlines/>
        <c:numFmt formatCode="General" sourceLinked="1"/>
        <c:tickLblPos val="nextTo"/>
        <c:crossAx val="76054528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219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mklaas</dc:creator>
  <cp:lastModifiedBy>mklaas</cp:lastModifiedBy>
  <cp:revision>3</cp:revision>
  <dcterms:created xsi:type="dcterms:W3CDTF">2014-06-27T09:52:00Z</dcterms:created>
  <dcterms:modified xsi:type="dcterms:W3CDTF">2014-06-27T12:32:00Z</dcterms:modified>
</cp:coreProperties>
</file>