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CBA" w:rsidRPr="00A84856" w:rsidRDefault="009C6CBA" w:rsidP="009C6CBA">
      <w:pPr>
        <w:autoSpaceDE w:val="0"/>
        <w:autoSpaceDN w:val="0"/>
        <w:adjustRightInd w:val="0"/>
        <w:spacing w:line="360" w:lineRule="auto"/>
        <w:jc w:val="both"/>
        <w:rPr>
          <w:rFonts w:cs="Arial"/>
          <w:b/>
          <w:color w:val="000000" w:themeColor="text1"/>
          <w:szCs w:val="22"/>
          <w:lang w:eastAsia="de-DE"/>
        </w:rPr>
      </w:pPr>
      <w:r w:rsidRPr="00A84856">
        <w:rPr>
          <w:rFonts w:cs="Arial"/>
          <w:color w:val="000000" w:themeColor="text1"/>
          <w:szCs w:val="22"/>
          <w:u w:val="single"/>
          <w:lang w:eastAsia="de-DE"/>
        </w:rPr>
        <w:t xml:space="preserve">Formeln für Winters- Verfahren mit </w:t>
      </w:r>
      <w:proofErr w:type="spellStart"/>
      <w:r w:rsidRPr="00A84856">
        <w:rPr>
          <w:rFonts w:cs="Arial"/>
          <w:color w:val="000000" w:themeColor="text1"/>
          <w:szCs w:val="22"/>
          <w:u w:val="single"/>
          <w:lang w:eastAsia="de-DE"/>
        </w:rPr>
        <w:t>multiplikativer</w:t>
      </w:r>
      <w:proofErr w:type="spellEnd"/>
      <w:r w:rsidRPr="00A84856">
        <w:rPr>
          <w:rFonts w:cs="Arial"/>
          <w:color w:val="000000" w:themeColor="text1"/>
          <w:szCs w:val="22"/>
          <w:u w:val="single"/>
          <w:lang w:eastAsia="de-DE"/>
        </w:rPr>
        <w:t xml:space="preserve"> Saison:</w:t>
      </w:r>
    </w:p>
    <w:p w:rsidR="009C6CBA" w:rsidRPr="00586CAD" w:rsidRDefault="009C6CBA" w:rsidP="009C6CBA">
      <w:pPr>
        <w:autoSpaceDE w:val="0"/>
        <w:autoSpaceDN w:val="0"/>
        <w:adjustRightInd w:val="0"/>
        <w:spacing w:line="360" w:lineRule="auto"/>
        <w:jc w:val="both"/>
        <w:rPr>
          <w:rFonts w:eastAsia="TimesNewRomanPSMT" w:cs="Arial"/>
          <w:color w:val="000080"/>
          <w:szCs w:val="22"/>
        </w:rPr>
      </w:pPr>
      <w:r w:rsidRPr="00586CAD">
        <w:rPr>
          <w:rFonts w:eastAsia="TimesNewRomanPSMT" w:cs="Arial"/>
          <w:color w:val="000080"/>
          <w:szCs w:val="22"/>
        </w:rPr>
        <w:t>Hier ist der Saisoneffekt proportional zum Niveau der Reihe. Der Trend selbst ist linear.</w:t>
      </w: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00"/>
      </w:tblGrid>
      <w:tr w:rsidR="009C6CBA" w:rsidTr="00AE2CBE">
        <w:trPr>
          <w:trHeight w:val="2987"/>
          <w:jc w:val="center"/>
        </w:trPr>
        <w:tc>
          <w:tcPr>
            <w:tcW w:w="4501" w:type="dxa"/>
          </w:tcPr>
          <w:p w:rsidR="009C6CBA" w:rsidRDefault="009809F8" w:rsidP="00AE2CBE">
            <w:pPr>
              <w:autoSpaceDE w:val="0"/>
              <w:autoSpaceDN w:val="0"/>
              <w:adjustRightInd w:val="0"/>
              <w:spacing w:line="360" w:lineRule="auto"/>
              <w:rPr>
                <w:rFonts w:eastAsia="TimesNewRomanPSMT" w:cs="Arial"/>
              </w:rPr>
            </w:pPr>
            <w:r w:rsidRPr="009809F8">
              <w:rPr>
                <w:rFonts w:cs="Arial"/>
                <w:b/>
                <w:color w:val="000080"/>
                <w:position w:val="-114"/>
                <w:szCs w:val="22"/>
                <w:lang w:eastAsia="de-DE"/>
              </w:rPr>
              <w:object w:dxaOrig="3800" w:dyaOrig="240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228pt;height:153pt" o:ole="">
                  <v:imagedata r:id="rId4" o:title=""/>
                </v:shape>
                <o:OLEObject Type="Embed" ProgID="Equation.3" ShapeID="_x0000_i1025" DrawAspect="Content" ObjectID="_1465714451" r:id="rId5"/>
              </w:object>
            </w:r>
          </w:p>
        </w:tc>
      </w:tr>
    </w:tbl>
    <w:p w:rsidR="009C6CBA" w:rsidRDefault="009C6CBA" w:rsidP="009C6CBA">
      <w:pPr>
        <w:autoSpaceDE w:val="0"/>
        <w:autoSpaceDN w:val="0"/>
        <w:adjustRightInd w:val="0"/>
        <w:spacing w:before="0" w:after="0" w:line="360" w:lineRule="auto"/>
        <w:rPr>
          <w:rFonts w:eastAsia="TimesNewRomanPSMT" w:cs="Arial"/>
          <w:color w:val="000000" w:themeColor="text1"/>
        </w:rPr>
      </w:pPr>
    </w:p>
    <w:p w:rsidR="009809F8" w:rsidRDefault="009809F8" w:rsidP="009809F8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  <w:r>
        <w:rPr>
          <w:rFonts w:cs="Arial"/>
          <w:color w:val="000080"/>
          <w:szCs w:val="22"/>
          <w:lang w:eastAsia="de-DE"/>
        </w:rPr>
        <w:t>Die Initialisierung des Verfahrens erfolgt in der ersten Saison mit:</w:t>
      </w:r>
    </w:p>
    <w:p w:rsidR="009809F8" w:rsidRDefault="009809F8" w:rsidP="009809F8">
      <w:pPr>
        <w:autoSpaceDE w:val="0"/>
        <w:autoSpaceDN w:val="0"/>
        <w:adjustRightInd w:val="0"/>
        <w:spacing w:before="0" w:after="0" w:line="360" w:lineRule="auto"/>
        <w:rPr>
          <w:rFonts w:cs="Arial"/>
          <w:color w:val="000080"/>
          <w:szCs w:val="22"/>
          <w:lang w:eastAsia="de-DE"/>
        </w:rPr>
      </w:pPr>
    </w:p>
    <w:tbl>
      <w:tblPr>
        <w:tblW w:w="0" w:type="auto"/>
        <w:jc w:val="center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57"/>
      </w:tblGrid>
      <w:tr w:rsidR="009809F8" w:rsidTr="009809F8">
        <w:trPr>
          <w:trHeight w:val="1669"/>
          <w:jc w:val="center"/>
        </w:trPr>
        <w:tc>
          <w:tcPr>
            <w:tcW w:w="2057" w:type="dxa"/>
          </w:tcPr>
          <w:p w:rsidR="009809F8" w:rsidRPr="001F41FB" w:rsidRDefault="009809F8" w:rsidP="0000157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TimesNewRomanPSMT" w:cs="Arial"/>
                <w:color w:val="000080"/>
              </w:rPr>
            </w:pPr>
            <w:r w:rsidRPr="009809F8">
              <w:rPr>
                <w:rFonts w:cs="Arial"/>
                <w:b/>
                <w:color w:val="000080"/>
                <w:position w:val="-80"/>
                <w:szCs w:val="22"/>
                <w:lang w:eastAsia="de-DE"/>
              </w:rPr>
              <w:object w:dxaOrig="1219" w:dyaOrig="1740">
                <v:shape id="_x0000_i1026" type="#_x0000_t75" style="width:73.8pt;height:105.6pt" o:ole="">
                  <v:imagedata r:id="rId6" o:title=""/>
                </v:shape>
                <o:OLEObject Type="Embed" ProgID="Equation.3" ShapeID="_x0000_i1026" DrawAspect="Content" ObjectID="_1465714452" r:id="rId7"/>
              </w:object>
            </w:r>
          </w:p>
        </w:tc>
      </w:tr>
    </w:tbl>
    <w:p w:rsidR="009809F8" w:rsidRPr="00A84856" w:rsidRDefault="009809F8" w:rsidP="009C6CBA">
      <w:pPr>
        <w:autoSpaceDE w:val="0"/>
        <w:autoSpaceDN w:val="0"/>
        <w:adjustRightInd w:val="0"/>
        <w:spacing w:before="0" w:after="0" w:line="360" w:lineRule="auto"/>
        <w:rPr>
          <w:rFonts w:eastAsia="TimesNewRomanPSMT" w:cs="Arial"/>
          <w:color w:val="000000" w:themeColor="text1"/>
        </w:rPr>
      </w:pPr>
    </w:p>
    <w:p w:rsidR="009C6CBA" w:rsidRPr="00A84856" w:rsidRDefault="009C6CBA" w:rsidP="009C6CBA">
      <w:pPr>
        <w:autoSpaceDE w:val="0"/>
        <w:autoSpaceDN w:val="0"/>
        <w:adjustRightInd w:val="0"/>
        <w:spacing w:line="360" w:lineRule="auto"/>
        <w:jc w:val="both"/>
        <w:rPr>
          <w:rFonts w:eastAsia="TimesNewRomanPSMT" w:cs="Arial"/>
          <w:color w:val="000000" w:themeColor="text1"/>
          <w:szCs w:val="22"/>
          <w:u w:val="single"/>
        </w:rPr>
      </w:pPr>
      <w:r w:rsidRPr="0039186F">
        <w:rPr>
          <w:rFonts w:eastAsia="TimesNewRomanPSMT" w:cs="Arial"/>
          <w:noProof/>
          <w:color w:val="000000" w:themeColor="text1"/>
          <w:szCs w:val="22"/>
          <w:lang w:eastAsia="de-DE"/>
        </w:rPr>
        <w:drawing>
          <wp:inline distT="0" distB="0" distL="0" distR="0">
            <wp:extent cx="301625" cy="301625"/>
            <wp:effectExtent l="19050" t="0" r="3175" b="0"/>
            <wp:docPr id="29" name="Bild 1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1625" cy="301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84856">
        <w:rPr>
          <w:rFonts w:cs="Arial"/>
          <w:color w:val="000000" w:themeColor="text1"/>
          <w:szCs w:val="22"/>
          <w:u w:val="single"/>
          <w:lang w:eastAsia="de-DE"/>
        </w:rPr>
        <w:t>Glä</w:t>
      </w:r>
      <w:r>
        <w:rPr>
          <w:rFonts w:cs="Arial"/>
          <w:color w:val="000000" w:themeColor="text1"/>
          <w:szCs w:val="22"/>
          <w:u w:val="single"/>
          <w:lang w:eastAsia="de-DE"/>
        </w:rPr>
        <w:t>ttungsfaktor Alpha 0,2, Beta 0,1, Gamma 0,3</w:t>
      </w:r>
      <w:r w:rsidRPr="00A84856">
        <w:rPr>
          <w:rFonts w:cs="Arial"/>
          <w:color w:val="000000" w:themeColor="text1"/>
          <w:szCs w:val="22"/>
          <w:u w:val="single"/>
          <w:lang w:eastAsia="de-DE"/>
        </w:rPr>
        <w:t>, Länge d. Saison-Perioden 12</w:t>
      </w:r>
      <w:r w:rsidRPr="00A84856">
        <w:rPr>
          <w:rFonts w:eastAsia="TimesNewRomanPSMT" w:cs="Arial"/>
          <w:color w:val="000000" w:themeColor="text1"/>
          <w:szCs w:val="22"/>
          <w:u w:val="single"/>
        </w:rPr>
        <w:t>:</w:t>
      </w:r>
    </w:p>
    <w:tbl>
      <w:tblPr>
        <w:tblW w:w="7730" w:type="dxa"/>
        <w:jc w:val="center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031"/>
        <w:gridCol w:w="1399"/>
        <w:gridCol w:w="1240"/>
        <w:gridCol w:w="1472"/>
        <w:gridCol w:w="1276"/>
        <w:gridCol w:w="1312"/>
      </w:tblGrid>
      <w:tr w:rsidR="009C6CBA" w:rsidRPr="008136D6" w:rsidTr="00AE2CBE">
        <w:trPr>
          <w:trHeight w:val="555"/>
          <w:jc w:val="center"/>
        </w:trPr>
        <w:tc>
          <w:tcPr>
            <w:tcW w:w="1031" w:type="dxa"/>
            <w:shd w:val="clear" w:color="auto" w:fill="E0E0E0"/>
            <w:noWrap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Monat</w:t>
            </w:r>
          </w:p>
        </w:tc>
        <w:tc>
          <w:tcPr>
            <w:tcW w:w="1399" w:type="dxa"/>
            <w:shd w:val="clear" w:color="auto" w:fill="E0E0E0"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Verbrauchs- werte</w:t>
            </w:r>
          </w:p>
        </w:tc>
        <w:tc>
          <w:tcPr>
            <w:tcW w:w="1240" w:type="dxa"/>
            <w:shd w:val="clear" w:color="auto" w:fill="E0E0E0"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Niveau- Komponente</w:t>
            </w:r>
          </w:p>
        </w:tc>
        <w:tc>
          <w:tcPr>
            <w:tcW w:w="1472" w:type="dxa"/>
            <w:shd w:val="clear" w:color="auto" w:fill="E0E0E0"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Trend- Komponente</w:t>
            </w:r>
          </w:p>
        </w:tc>
        <w:tc>
          <w:tcPr>
            <w:tcW w:w="1276" w:type="dxa"/>
            <w:shd w:val="clear" w:color="auto" w:fill="E0E0E0"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bCs/>
                <w:color w:val="000099"/>
                <w:sz w:val="16"/>
                <w:szCs w:val="16"/>
                <w:lang w:eastAsia="de-DE"/>
              </w:rPr>
              <w:t>Saisonaler Faktor</w:t>
            </w:r>
          </w:p>
        </w:tc>
        <w:tc>
          <w:tcPr>
            <w:tcW w:w="1312" w:type="dxa"/>
            <w:shd w:val="clear" w:color="auto" w:fill="E0E0E0"/>
            <w:vAlign w:val="bottom"/>
          </w:tcPr>
          <w:p w:rsidR="009C6CBA" w:rsidRPr="008136D6" w:rsidRDefault="009C6CBA" w:rsidP="00AE2CBE">
            <w:pPr>
              <w:spacing w:before="0" w:after="0"/>
              <w:jc w:val="center"/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</w:pPr>
            <w:proofErr w:type="spellStart"/>
            <w:r w:rsidRPr="008136D6">
              <w:rPr>
                <w:rFonts w:cs="Arial"/>
                <w:b/>
                <w:bCs/>
                <w:color w:val="000099"/>
                <w:sz w:val="16"/>
                <w:szCs w:val="16"/>
                <w:lang w:eastAsia="de-DE"/>
              </w:rPr>
              <w:t>Prognosewert</w:t>
            </w:r>
            <w:proofErr w:type="spellEnd"/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39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0,64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39</w:t>
            </w:r>
          </w:p>
        </w:tc>
      </w:tr>
      <w:tr w:rsidR="00B71F5A" w:rsidRPr="008136D6" w:rsidTr="00AE2CBE">
        <w:trPr>
          <w:trHeight w:val="296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93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1,52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93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150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2,45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150</w:t>
            </w:r>
          </w:p>
        </w:tc>
      </w:tr>
      <w:tr w:rsidR="00B71F5A" w:rsidRPr="008136D6" w:rsidTr="00AE2CBE">
        <w:trPr>
          <w:trHeight w:val="36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132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2,16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132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123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2,01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123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73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1,19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73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30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0,49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30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22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0,36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22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52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0,85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52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0,08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5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15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61,25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0,24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15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53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65,65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0,44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0,69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39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129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69,86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0,82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1,62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100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163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69,85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0,73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2,41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173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140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69,46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0,62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2,11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152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129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68,92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0,51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1,97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141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80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68,96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0,46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1,18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83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44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73,50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0,87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0,52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34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24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72,86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0,72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0,35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27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58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72,53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0,61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0,83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62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2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83,01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1,60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8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87,29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1,87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0,08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7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16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84,39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1,39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0,23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22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49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82,87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1,10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0,66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59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107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80,41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0,74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1,53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136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157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77,93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0,42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2,29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196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137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75,65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0,15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2,02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166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128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73,65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-0,06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1,90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149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78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72,06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-0,22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1,15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87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37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71,64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-0,24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0,52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38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26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71,97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-0,18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0,35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25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57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71,10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-0,25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0,82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60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5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110,28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3,69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0,03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</w:tr>
      <w:tr w:rsidR="00B71F5A" w:rsidRPr="008136D6" w:rsidTr="00AE2CBE">
        <w:trPr>
          <w:trHeight w:val="255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10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114,81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3,78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0,09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10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20</w:t>
            </w: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112,39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3,16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sz w:val="16"/>
                <w:szCs w:val="16"/>
              </w:rPr>
            </w:pPr>
            <w:r w:rsidRPr="00B71F5A">
              <w:rPr>
                <w:rFonts w:cs="Arial"/>
                <w:sz w:val="16"/>
                <w:szCs w:val="16"/>
              </w:rPr>
              <w:t>0,21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27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Jan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tcBorders>
              <w:bottom w:val="single" w:sz="4" w:space="0" w:color="auto"/>
            </w:tcBorders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76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Feb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182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März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280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April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253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Mai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243</w:t>
            </w:r>
          </w:p>
        </w:tc>
      </w:tr>
      <w:tr w:rsidR="00B71F5A" w:rsidRPr="008136D6" w:rsidTr="000D4A75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lastRenderedPageBreak/>
              <w:t>Juni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center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auto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151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Juli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jc w:val="center"/>
              <w:rPr>
                <w:rFonts w:cs="Arial"/>
                <w:sz w:val="16"/>
                <w:szCs w:val="16"/>
              </w:rPr>
            </w:pP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70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Aug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49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Sep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116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Okt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4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Nov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13</w:t>
            </w:r>
          </w:p>
        </w:tc>
      </w:tr>
      <w:tr w:rsidR="00B71F5A" w:rsidRPr="008136D6" w:rsidTr="00AE2CBE">
        <w:trPr>
          <w:trHeight w:val="270"/>
          <w:jc w:val="center"/>
        </w:trPr>
        <w:tc>
          <w:tcPr>
            <w:tcW w:w="1031" w:type="dxa"/>
            <w:shd w:val="clear" w:color="auto" w:fill="D9D9D9"/>
            <w:noWrap/>
            <w:vAlign w:val="bottom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Dez</w:t>
            </w:r>
          </w:p>
        </w:tc>
        <w:tc>
          <w:tcPr>
            <w:tcW w:w="1399" w:type="dxa"/>
            <w:shd w:val="clear" w:color="auto" w:fill="D9D9D9"/>
            <w:noWrap/>
            <w:vAlign w:val="center"/>
          </w:tcPr>
          <w:p w:rsidR="00B71F5A" w:rsidRPr="008136D6" w:rsidRDefault="00B71F5A" w:rsidP="00AE2CBE">
            <w:pPr>
              <w:spacing w:before="0" w:after="0"/>
              <w:jc w:val="center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</w:p>
        </w:tc>
        <w:tc>
          <w:tcPr>
            <w:tcW w:w="1240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472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276" w:type="dxa"/>
            <w:shd w:val="clear" w:color="auto" w:fill="FFFFFF"/>
            <w:noWrap/>
            <w:vAlign w:val="bottom"/>
          </w:tcPr>
          <w:p w:rsidR="00B71F5A" w:rsidRPr="008136D6" w:rsidRDefault="00B71F5A" w:rsidP="00AE2CBE">
            <w:pPr>
              <w:spacing w:before="0" w:after="0"/>
              <w:rPr>
                <w:rFonts w:cs="Arial"/>
                <w:color w:val="000099"/>
                <w:sz w:val="16"/>
                <w:szCs w:val="16"/>
                <w:lang w:eastAsia="de-DE"/>
              </w:rPr>
            </w:pPr>
            <w:r w:rsidRPr="008136D6">
              <w:rPr>
                <w:rFonts w:cs="Arial"/>
                <w:color w:val="000099"/>
                <w:sz w:val="16"/>
                <w:szCs w:val="16"/>
                <w:lang w:eastAsia="de-DE"/>
              </w:rPr>
              <w:t> </w:t>
            </w:r>
          </w:p>
        </w:tc>
        <w:tc>
          <w:tcPr>
            <w:tcW w:w="1312" w:type="dxa"/>
            <w:shd w:val="clear" w:color="auto" w:fill="FFFFFF"/>
            <w:noWrap/>
            <w:vAlign w:val="bottom"/>
          </w:tcPr>
          <w:p w:rsidR="00B71F5A" w:rsidRPr="00B71F5A" w:rsidRDefault="00B71F5A" w:rsidP="00B71F5A">
            <w:pPr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B71F5A">
              <w:rPr>
                <w:rFonts w:cs="Arial"/>
                <w:b/>
                <w:bCs/>
                <w:sz w:val="16"/>
                <w:szCs w:val="16"/>
              </w:rPr>
              <w:t>32</w:t>
            </w:r>
          </w:p>
        </w:tc>
      </w:tr>
    </w:tbl>
    <w:p w:rsidR="009C6CBA" w:rsidRDefault="009C6CBA" w:rsidP="009C6CBA">
      <w:pPr>
        <w:autoSpaceDE w:val="0"/>
        <w:autoSpaceDN w:val="0"/>
        <w:adjustRightInd w:val="0"/>
        <w:spacing w:line="360" w:lineRule="auto"/>
        <w:rPr>
          <w:rFonts w:eastAsia="TimesNewRomanPSMT" w:cs="Arial"/>
          <w:color w:val="000000" w:themeColor="text1"/>
          <w:u w:val="single"/>
        </w:rPr>
      </w:pPr>
    </w:p>
    <w:p w:rsidR="009C6CBA" w:rsidRPr="00A84856" w:rsidRDefault="009C6CBA" w:rsidP="009C6CBA">
      <w:pPr>
        <w:autoSpaceDE w:val="0"/>
        <w:autoSpaceDN w:val="0"/>
        <w:adjustRightInd w:val="0"/>
        <w:spacing w:line="360" w:lineRule="auto"/>
        <w:rPr>
          <w:rFonts w:eastAsia="TimesNewRomanPSMT" w:cs="Arial"/>
          <w:color w:val="000000" w:themeColor="text1"/>
          <w:u w:val="single"/>
        </w:rPr>
      </w:pPr>
      <w:r w:rsidRPr="00A84856">
        <w:rPr>
          <w:rFonts w:eastAsia="TimesNewRomanPSMT" w:cs="Arial"/>
          <w:color w:val="000000" w:themeColor="text1"/>
          <w:u w:val="single"/>
        </w:rPr>
        <w:t>Grafisches Ergebnis:</w:t>
      </w:r>
    </w:p>
    <w:p w:rsidR="00B71F5A" w:rsidRDefault="00B71F5A" w:rsidP="009C6CBA">
      <w:pPr>
        <w:autoSpaceDE w:val="0"/>
        <w:autoSpaceDN w:val="0"/>
        <w:adjustRightInd w:val="0"/>
        <w:spacing w:line="360" w:lineRule="auto"/>
        <w:jc w:val="center"/>
        <w:rPr>
          <w:noProof/>
          <w:lang w:eastAsia="de-DE"/>
        </w:rPr>
      </w:pPr>
      <w:r w:rsidRPr="00B71F5A">
        <w:rPr>
          <w:noProof/>
          <w:lang w:eastAsia="de-DE"/>
        </w:rPr>
        <w:drawing>
          <wp:inline distT="0" distB="0" distL="0" distR="0">
            <wp:extent cx="5334811" cy="1536970"/>
            <wp:effectExtent l="19050" t="0" r="18239" b="6080"/>
            <wp:docPr id="6" name="Diagram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B71F5A" w:rsidRDefault="00B71F5A" w:rsidP="009C6CBA">
      <w:pPr>
        <w:autoSpaceDE w:val="0"/>
        <w:autoSpaceDN w:val="0"/>
        <w:adjustRightInd w:val="0"/>
        <w:spacing w:line="360" w:lineRule="auto"/>
        <w:jc w:val="center"/>
        <w:rPr>
          <w:noProof/>
          <w:lang w:eastAsia="de-DE"/>
        </w:rPr>
      </w:pPr>
    </w:p>
    <w:p w:rsidR="00A11DB9" w:rsidRDefault="00A11DB9"/>
    <w:sectPr w:rsidR="00A11DB9" w:rsidSect="00B71F5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Japanese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C6CBA"/>
    <w:rsid w:val="00001571"/>
    <w:rsid w:val="000D4A75"/>
    <w:rsid w:val="003B7886"/>
    <w:rsid w:val="006B577E"/>
    <w:rsid w:val="00980260"/>
    <w:rsid w:val="009809F8"/>
    <w:rsid w:val="009C6CBA"/>
    <w:rsid w:val="00A11DB9"/>
    <w:rsid w:val="00A74510"/>
    <w:rsid w:val="00B71F5A"/>
    <w:rsid w:val="00E97E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9C6CBA"/>
    <w:pPr>
      <w:spacing w:before="120" w:after="120" w:line="240" w:lineRule="auto"/>
    </w:pPr>
    <w:rPr>
      <w:rFonts w:ascii="Arial" w:eastAsia="Times New Roman" w:hAnsi="Arial" w:cs="Times New Roman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C6CBA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C6CB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4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oleObject" Target="embeddings/oleObject2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wmf"/><Relationship Id="rId9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Dispo%20Cockpit\Anpassungen%20DCF\Bugs\4032%20-%20&#220;berarbeitung%20Winters%20Verfahren\Winters%20multiplikativ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de-DE"/>
  <c:style val="3"/>
  <c:chart>
    <c:plotArea>
      <c:layout>
        <c:manualLayout>
          <c:layoutTarget val="inner"/>
          <c:xMode val="edge"/>
          <c:yMode val="edge"/>
          <c:x val="8.1682142559576704E-2"/>
          <c:y val="9.174024216477876E-2"/>
          <c:w val="0.64542313251083561"/>
          <c:h val="0.80210804374841405"/>
        </c:manualLayout>
      </c:layout>
      <c:barChart>
        <c:barDir val="col"/>
        <c:grouping val="clustered"/>
        <c:ser>
          <c:idx val="0"/>
          <c:order val="0"/>
          <c:tx>
            <c:v>Verbrauchswert</c:v>
          </c:tx>
          <c:cat>
            <c:numRef>
              <c:f>'[Winters additiv.xlsx]Tabelle2'!$D$27:$D$74</c:f>
              <c:numCache>
                <c:formatCode>General</c:formatCode>
                <c:ptCount val="48"/>
              </c:numCache>
            </c:numRef>
          </c:cat>
          <c:val>
            <c:numRef>
              <c:f>Tabelle1!$B$2:$B$37</c:f>
              <c:numCache>
                <c:formatCode>General</c:formatCode>
                <c:ptCount val="36"/>
                <c:pt idx="0">
                  <c:v>39</c:v>
                </c:pt>
                <c:pt idx="1">
                  <c:v>93</c:v>
                </c:pt>
                <c:pt idx="2">
                  <c:v>150</c:v>
                </c:pt>
                <c:pt idx="3">
                  <c:v>132</c:v>
                </c:pt>
                <c:pt idx="4">
                  <c:v>123</c:v>
                </c:pt>
                <c:pt idx="5">
                  <c:v>73</c:v>
                </c:pt>
                <c:pt idx="6">
                  <c:v>30</c:v>
                </c:pt>
                <c:pt idx="7">
                  <c:v>22</c:v>
                </c:pt>
                <c:pt idx="8">
                  <c:v>52</c:v>
                </c:pt>
                <c:pt idx="9">
                  <c:v>1</c:v>
                </c:pt>
                <c:pt idx="10">
                  <c:v>5</c:v>
                </c:pt>
                <c:pt idx="11">
                  <c:v>15</c:v>
                </c:pt>
                <c:pt idx="12">
                  <c:v>53</c:v>
                </c:pt>
                <c:pt idx="13">
                  <c:v>129</c:v>
                </c:pt>
                <c:pt idx="14">
                  <c:v>163</c:v>
                </c:pt>
                <c:pt idx="15">
                  <c:v>140</c:v>
                </c:pt>
                <c:pt idx="16">
                  <c:v>129</c:v>
                </c:pt>
                <c:pt idx="17">
                  <c:v>80</c:v>
                </c:pt>
                <c:pt idx="18">
                  <c:v>44</c:v>
                </c:pt>
                <c:pt idx="19">
                  <c:v>24</c:v>
                </c:pt>
                <c:pt idx="20">
                  <c:v>58</c:v>
                </c:pt>
                <c:pt idx="21">
                  <c:v>2</c:v>
                </c:pt>
                <c:pt idx="22">
                  <c:v>8</c:v>
                </c:pt>
                <c:pt idx="23">
                  <c:v>16</c:v>
                </c:pt>
                <c:pt idx="24">
                  <c:v>49</c:v>
                </c:pt>
                <c:pt idx="25">
                  <c:v>107</c:v>
                </c:pt>
                <c:pt idx="26">
                  <c:v>157</c:v>
                </c:pt>
                <c:pt idx="27">
                  <c:v>137</c:v>
                </c:pt>
                <c:pt idx="28">
                  <c:v>128</c:v>
                </c:pt>
                <c:pt idx="29">
                  <c:v>78</c:v>
                </c:pt>
                <c:pt idx="30">
                  <c:v>37</c:v>
                </c:pt>
                <c:pt idx="31">
                  <c:v>26</c:v>
                </c:pt>
                <c:pt idx="32">
                  <c:v>57</c:v>
                </c:pt>
                <c:pt idx="33">
                  <c:v>5</c:v>
                </c:pt>
                <c:pt idx="34">
                  <c:v>10</c:v>
                </c:pt>
                <c:pt idx="35">
                  <c:v>20</c:v>
                </c:pt>
              </c:numCache>
            </c:numRef>
          </c:val>
        </c:ser>
        <c:ser>
          <c:idx val="1"/>
          <c:order val="1"/>
          <c:tx>
            <c:v>Prognosewerte</c:v>
          </c:tx>
          <c:val>
            <c:numRef>
              <c:f>Tabelle1!$L$2:$L$49</c:f>
              <c:numCache>
                <c:formatCode>0</c:formatCode>
                <c:ptCount val="48"/>
                <c:pt idx="0">
                  <c:v>39</c:v>
                </c:pt>
                <c:pt idx="1">
                  <c:v>93</c:v>
                </c:pt>
                <c:pt idx="2">
                  <c:v>150</c:v>
                </c:pt>
                <c:pt idx="3">
                  <c:v>132</c:v>
                </c:pt>
                <c:pt idx="4">
                  <c:v>123</c:v>
                </c:pt>
                <c:pt idx="5">
                  <c:v>73</c:v>
                </c:pt>
                <c:pt idx="6">
                  <c:v>30</c:v>
                </c:pt>
                <c:pt idx="7">
                  <c:v>22</c:v>
                </c:pt>
                <c:pt idx="8">
                  <c:v>52</c:v>
                </c:pt>
                <c:pt idx="9">
                  <c:v>1</c:v>
                </c:pt>
                <c:pt idx="10">
                  <c:v>5</c:v>
                </c:pt>
                <c:pt idx="11">
                  <c:v>15</c:v>
                </c:pt>
                <c:pt idx="12">
                  <c:v>39</c:v>
                </c:pt>
                <c:pt idx="13">
                  <c:v>100.34461538461547</c:v>
                </c:pt>
                <c:pt idx="14">
                  <c:v>173.09111662531021</c:v>
                </c:pt>
                <c:pt idx="15">
                  <c:v>152.127677935484</c:v>
                </c:pt>
                <c:pt idx="16">
                  <c:v>140.7447260331513</c:v>
                </c:pt>
                <c:pt idx="17">
                  <c:v>82.739526013336246</c:v>
                </c:pt>
                <c:pt idx="18">
                  <c:v>34.002338205893082</c:v>
                </c:pt>
                <c:pt idx="19">
                  <c:v>26.712974633507237</c:v>
                </c:pt>
                <c:pt idx="20">
                  <c:v>62.465527327711492</c:v>
                </c:pt>
                <c:pt idx="21">
                  <c:v>1.1940649522720981</c:v>
                </c:pt>
                <c:pt idx="22">
                  <c:v>6.9067528961669451</c:v>
                </c:pt>
                <c:pt idx="23">
                  <c:v>21.833281038266311</c:v>
                </c:pt>
                <c:pt idx="24">
                  <c:v>59.008656020032177</c:v>
                </c:pt>
                <c:pt idx="25">
                  <c:v>135.7600368093928</c:v>
                </c:pt>
                <c:pt idx="26">
                  <c:v>195.92971119898178</c:v>
                </c:pt>
                <c:pt idx="27">
                  <c:v>165.56792700019312</c:v>
                </c:pt>
                <c:pt idx="28">
                  <c:v>149.11062181831758</c:v>
                </c:pt>
                <c:pt idx="29">
                  <c:v>87.000416216045949</c:v>
                </c:pt>
                <c:pt idx="30">
                  <c:v>37.535491098093345</c:v>
                </c:pt>
                <c:pt idx="31">
                  <c:v>25.009257432395685</c:v>
                </c:pt>
                <c:pt idx="32">
                  <c:v>59.88730462183549</c:v>
                </c:pt>
                <c:pt idx="33">
                  <c:v>1.3217897587141214</c:v>
                </c:pt>
                <c:pt idx="34">
                  <c:v>9.6464267889191238</c:v>
                </c:pt>
                <c:pt idx="35">
                  <c:v>27.073788196618448</c:v>
                </c:pt>
                <c:pt idx="36">
                  <c:v>76.136131447639158</c:v>
                </c:pt>
                <c:pt idx="37">
                  <c:v>181.72948977961386</c:v>
                </c:pt>
                <c:pt idx="38">
                  <c:v>279.59652954285406</c:v>
                </c:pt>
                <c:pt idx="39">
                  <c:v>252.85451559756868</c:v>
                </c:pt>
                <c:pt idx="40">
                  <c:v>243.33478778380325</c:v>
                </c:pt>
                <c:pt idx="41">
                  <c:v>151.33683539050233</c:v>
                </c:pt>
                <c:pt idx="42">
                  <c:v>70.020984531644501</c:v>
                </c:pt>
                <c:pt idx="43">
                  <c:v>48.664900911728331</c:v>
                </c:pt>
                <c:pt idx="44">
                  <c:v>116.086108365784</c:v>
                </c:pt>
                <c:pt idx="45">
                  <c:v>3.838220839198069</c:v>
                </c:pt>
                <c:pt idx="46">
                  <c:v>12.560594994337174</c:v>
                </c:pt>
                <c:pt idx="47">
                  <c:v>32.039028775227614</c:v>
                </c:pt>
              </c:numCache>
            </c:numRef>
          </c:val>
        </c:ser>
        <c:axId val="113142016"/>
        <c:axId val="116723712"/>
      </c:barChart>
      <c:catAx>
        <c:axId val="113142016"/>
        <c:scaling>
          <c:orientation val="minMax"/>
        </c:scaling>
        <c:axPos val="b"/>
        <c:numFmt formatCode="General" sourceLinked="1"/>
        <c:tickLblPos val="nextTo"/>
        <c:crossAx val="116723712"/>
        <c:crosses val="autoZero"/>
        <c:auto val="1"/>
        <c:lblAlgn val="ctr"/>
        <c:lblOffset val="100"/>
        <c:tickLblSkip val="1"/>
      </c:catAx>
      <c:valAx>
        <c:axId val="116723712"/>
        <c:scaling>
          <c:orientation val="minMax"/>
        </c:scaling>
        <c:axPos val="l"/>
        <c:majorGridlines/>
        <c:numFmt formatCode="General" sourceLinked="1"/>
        <c:tickLblPos val="nextTo"/>
        <c:crossAx val="113142016"/>
        <c:crosses val="autoZero"/>
        <c:crossBetween val="between"/>
      </c:valAx>
    </c:plotArea>
    <c:legend>
      <c:legendPos val="r"/>
    </c:legend>
    <c:plotVisOnly val="1"/>
  </c:chart>
  <c:externalData r:id="rId1"/>
</c:chartSpace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226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mklaas</dc:creator>
  <cp:lastModifiedBy>mklaas</cp:lastModifiedBy>
  <cp:revision>5</cp:revision>
  <cp:lastPrinted>2014-06-27T09:06:00Z</cp:lastPrinted>
  <dcterms:created xsi:type="dcterms:W3CDTF">2014-06-27T08:05:00Z</dcterms:created>
  <dcterms:modified xsi:type="dcterms:W3CDTF">2014-07-01T08:08:00Z</dcterms:modified>
</cp:coreProperties>
</file>